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3D3A8A" w:rsidR="00FC147E" w:rsidP="00FC147E" w:rsidRDefault="003D3A8A">
      <w:pPr>
        <w:rPr>
          <w:rFonts w:ascii="Arial" w:hAnsi="Arial" w:cs="Arial"/>
        </w:rPr>
      </w:pPr>
      <w:r w:rsidRPr="003D3A8A">
        <w:rPr>
          <w:rFonts w:ascii="Arial" w:hAnsi="Arial" w:cs="Arial"/>
        </w:rPr>
        <w:t xml:space="preserve">February </w:t>
      </w:r>
      <w:r w:rsidR="001556A8">
        <w:rPr>
          <w:rFonts w:ascii="Arial" w:hAnsi="Arial" w:cs="Arial"/>
        </w:rPr>
        <w:t>18</w:t>
      </w:r>
      <w:r w:rsidRPr="003D3A8A">
        <w:rPr>
          <w:rFonts w:ascii="Arial" w:hAnsi="Arial" w:cs="Arial"/>
        </w:rPr>
        <w:t>, 2014</w:t>
      </w:r>
    </w:p>
    <w:p w:rsidRPr="003D3A8A" w:rsidR="00FC147E" w:rsidP="00FC147E" w:rsidRDefault="00FC147E">
      <w:pPr>
        <w:rPr>
          <w:rFonts w:ascii="Arial" w:hAnsi="Arial" w:cs="Arial"/>
        </w:rPr>
      </w:pPr>
    </w:p>
    <w:p w:rsidRPr="003D3A8A" w:rsidR="00321F96" w:rsidP="00FC147E" w:rsidRDefault="00321F96">
      <w:pPr>
        <w:rPr>
          <w:rFonts w:ascii="Arial" w:hAnsi="Arial" w:cs="Arial"/>
        </w:rPr>
      </w:pPr>
    </w:p>
    <w:p w:rsidRPr="003D3A8A" w:rsidR="003D3A8A" w:rsidP="003D3A8A" w:rsidRDefault="003D3A8A">
      <w:pPr>
        <w:pStyle w:val="Default0"/>
        <w:jc w:val="both"/>
        <w:rPr>
          <w:rFonts w:ascii="Arial" w:hAnsi="Arial" w:cs="Arial"/>
        </w:rPr>
      </w:pPr>
      <w:r w:rsidRPr="003D3A8A">
        <w:rPr>
          <w:rFonts w:ascii="Arial" w:hAnsi="Arial" w:cs="Arial"/>
          <w:i/>
          <w:iCs/>
        </w:rPr>
        <w:t xml:space="preserve">Submitted electronically via Regulations.gov </w:t>
      </w:r>
    </w:p>
    <w:p w:rsidRPr="003D3A8A" w:rsidR="00FC147E" w:rsidP="00FC147E" w:rsidRDefault="00FC147E">
      <w:pPr>
        <w:rPr>
          <w:rFonts w:ascii="Arial" w:hAnsi="Arial" w:cs="Arial"/>
        </w:rPr>
      </w:pPr>
    </w:p>
    <w:p w:rsidRPr="003D3A8A" w:rsidR="003D3A8A" w:rsidP="003D3A8A" w:rsidRDefault="003D3A8A">
      <w:pPr>
        <w:pStyle w:val="Default0"/>
        <w:jc w:val="both"/>
        <w:rPr>
          <w:rFonts w:ascii="Arial" w:hAnsi="Arial" w:cs="Arial"/>
        </w:rPr>
      </w:pPr>
      <w:r w:rsidRPr="003D3A8A">
        <w:rPr>
          <w:rFonts w:ascii="Arial" w:hAnsi="Arial" w:cs="Arial"/>
        </w:rPr>
        <w:t xml:space="preserve">Committee on Rules of Practice and Procedure </w:t>
      </w:r>
    </w:p>
    <w:p w:rsidRPr="003D3A8A" w:rsidR="003D3A8A" w:rsidP="003D3A8A" w:rsidRDefault="003D3A8A">
      <w:pPr>
        <w:pStyle w:val="Default0"/>
        <w:jc w:val="both"/>
        <w:rPr>
          <w:rFonts w:ascii="Arial" w:hAnsi="Arial" w:cs="Arial"/>
        </w:rPr>
      </w:pPr>
      <w:r w:rsidRPr="003D3A8A">
        <w:rPr>
          <w:rFonts w:ascii="Arial" w:hAnsi="Arial" w:cs="Arial"/>
        </w:rPr>
        <w:t xml:space="preserve">Administrative Office of the United States Courts </w:t>
      </w:r>
    </w:p>
    <w:p w:rsidRPr="003D3A8A" w:rsidR="003D3A8A" w:rsidP="003D3A8A" w:rsidRDefault="003D3A8A">
      <w:pPr>
        <w:pStyle w:val="Default0"/>
        <w:jc w:val="both"/>
        <w:rPr>
          <w:rFonts w:ascii="Arial" w:hAnsi="Arial" w:cs="Arial"/>
        </w:rPr>
      </w:pPr>
      <w:r w:rsidRPr="003D3A8A">
        <w:rPr>
          <w:rFonts w:ascii="Arial" w:hAnsi="Arial" w:cs="Arial"/>
        </w:rPr>
        <w:t xml:space="preserve">One Columbus Circle </w:t>
      </w:r>
    </w:p>
    <w:p w:rsidRPr="003D3A8A" w:rsidR="003D3A8A" w:rsidP="003D3A8A" w:rsidRDefault="003D3A8A">
      <w:pPr>
        <w:pStyle w:val="Default0"/>
        <w:jc w:val="both"/>
        <w:rPr>
          <w:rFonts w:ascii="Arial" w:hAnsi="Arial" w:cs="Arial"/>
        </w:rPr>
      </w:pPr>
      <w:r w:rsidRPr="003D3A8A">
        <w:rPr>
          <w:rFonts w:ascii="Arial" w:hAnsi="Arial" w:cs="Arial"/>
        </w:rPr>
        <w:t xml:space="preserve">Washington, DC 20544 </w:t>
      </w:r>
    </w:p>
    <w:p w:rsidRPr="003D3A8A" w:rsidR="003D3A8A" w:rsidP="003D3A8A" w:rsidRDefault="003D3A8A">
      <w:pPr>
        <w:pStyle w:val="Default0"/>
        <w:jc w:val="both"/>
        <w:rPr>
          <w:rFonts w:ascii="Arial" w:hAnsi="Arial" w:cs="Arial"/>
        </w:rPr>
      </w:pPr>
    </w:p>
    <w:p w:rsidRPr="003D3A8A" w:rsidR="003D3A8A" w:rsidP="003D3A8A" w:rsidRDefault="003D3A8A">
      <w:pPr>
        <w:pStyle w:val="Default0"/>
        <w:jc w:val="both"/>
        <w:rPr>
          <w:rFonts w:ascii="Arial" w:hAnsi="Arial" w:cs="Arial"/>
          <w:iCs/>
        </w:rPr>
      </w:pPr>
      <w:r w:rsidRPr="003D3A8A">
        <w:rPr>
          <w:rFonts w:ascii="Arial" w:hAnsi="Arial" w:cs="Arial"/>
          <w:iCs/>
        </w:rPr>
        <w:tab/>
        <w:t xml:space="preserve">Re:  Proposed Amendments to the </w:t>
      </w:r>
      <w:r w:rsidRPr="003D3A8A">
        <w:rPr>
          <w:rFonts w:ascii="Arial" w:hAnsi="Arial" w:cs="Arial"/>
          <w:bCs/>
        </w:rPr>
        <w:t>Federal Rules of Civil Procedure</w:t>
      </w:r>
    </w:p>
    <w:p w:rsidRPr="003D3A8A" w:rsidR="003D3A8A" w:rsidP="003D3A8A" w:rsidRDefault="003D3A8A">
      <w:pPr>
        <w:pStyle w:val="Default0"/>
        <w:jc w:val="both"/>
        <w:rPr>
          <w:rFonts w:ascii="Arial" w:hAnsi="Arial" w:cs="Arial"/>
        </w:rPr>
      </w:pPr>
    </w:p>
    <w:p w:rsidRPr="003D3A8A" w:rsidR="003D3A8A" w:rsidP="003D3A8A" w:rsidRDefault="003D3A8A">
      <w:pPr>
        <w:pStyle w:val="Default0"/>
        <w:jc w:val="both"/>
        <w:rPr>
          <w:rFonts w:ascii="Arial" w:hAnsi="Arial" w:cs="Arial"/>
        </w:rPr>
      </w:pPr>
      <w:r w:rsidRPr="003D3A8A">
        <w:rPr>
          <w:rFonts w:ascii="Arial" w:hAnsi="Arial" w:cs="Arial"/>
        </w:rPr>
        <w:t xml:space="preserve">Dear Members of the Committee on Rules of Practice and Procedure: </w:t>
      </w:r>
    </w:p>
    <w:p w:rsidRPr="003D3A8A" w:rsidR="003D3A8A" w:rsidP="003D3A8A" w:rsidRDefault="003D3A8A">
      <w:pPr>
        <w:pStyle w:val="Default0"/>
        <w:jc w:val="both"/>
        <w:rPr>
          <w:rFonts w:ascii="Arial" w:hAnsi="Arial" w:cs="Arial"/>
        </w:rPr>
      </w:pPr>
    </w:p>
    <w:p w:rsidRPr="003D3A8A" w:rsidR="003D3A8A" w:rsidP="003D3A8A" w:rsidRDefault="003D3A8A">
      <w:pPr>
        <w:ind w:firstLine="720"/>
        <w:jc w:val="both"/>
        <w:rPr>
          <w:rFonts w:ascii="Arial" w:hAnsi="Arial" w:cs="Arial"/>
          <w:bCs/>
        </w:rPr>
      </w:pPr>
      <w:r w:rsidRPr="003D3A8A">
        <w:rPr>
          <w:rFonts w:ascii="Arial" w:hAnsi="Arial" w:cs="Arial"/>
        </w:rPr>
        <w:t xml:space="preserve">These comments </w:t>
      </w:r>
      <w:r w:rsidRPr="003D3A8A">
        <w:rPr>
          <w:rFonts w:ascii="Arial" w:hAnsi="Arial" w:cs="Arial"/>
          <w:bCs/>
        </w:rPr>
        <w:t>are submitted</w:t>
      </w:r>
      <w:r w:rsidRPr="003D3A8A">
        <w:rPr>
          <w:rFonts w:ascii="Arial" w:hAnsi="Arial" w:cs="Arial"/>
        </w:rPr>
        <w:t xml:space="preserve"> on behalf of the American Insurance Association (AIA), which </w:t>
      </w:r>
      <w:r w:rsidRPr="003D3A8A">
        <w:rPr>
          <w:rFonts w:ascii="Arial" w:hAnsi="Arial" w:cs="Arial"/>
          <w:bCs/>
        </w:rPr>
        <w:t>represents approximately 300 major U.S. insurance companies that provide all lines of property-casualty insurance to consumers and businesses in the United States and around the world.  Given their frequent and extensive involvement in litigation, both as direct parties and on behalf of their policyholders, AIA members have a strong interest in the adoption of fair and efficient rules governing civil procedure.</w:t>
      </w:r>
    </w:p>
    <w:p w:rsidRPr="003D3A8A" w:rsidR="003D3A8A" w:rsidP="003D3A8A" w:rsidRDefault="003D3A8A">
      <w:pPr>
        <w:jc w:val="both"/>
        <w:rPr>
          <w:rFonts w:ascii="Arial" w:hAnsi="Arial" w:cs="Arial"/>
          <w:bCs/>
        </w:rPr>
      </w:pPr>
    </w:p>
    <w:p w:rsidRPr="003D3A8A" w:rsidR="003D3A8A" w:rsidP="003D3A8A" w:rsidRDefault="003D3A8A">
      <w:pPr>
        <w:ind w:firstLine="720"/>
        <w:jc w:val="both"/>
        <w:rPr>
          <w:rFonts w:ascii="Arial" w:hAnsi="Arial" w:cs="Arial"/>
        </w:rPr>
      </w:pPr>
      <w:r w:rsidRPr="003D3A8A">
        <w:rPr>
          <w:rFonts w:ascii="Arial" w:hAnsi="Arial" w:cs="Arial"/>
          <w:bCs/>
        </w:rPr>
        <w:t>AIA strongly supports the proposed amendments to the Federal Rules of Civil Procedure as a t</w:t>
      </w:r>
      <w:r w:rsidRPr="003D3A8A">
        <w:rPr>
          <w:rFonts w:ascii="Arial" w:hAnsi="Arial" w:cs="Arial"/>
        </w:rPr>
        <w:t>houghtful and targeted approach to streamlining many cumbersome and expensive aspects of the litigation process.  Our comments will address the proposed amendments as they have been grouped in the 5/8/13 memorandum accompanying the rules package.</w:t>
      </w:r>
    </w:p>
    <w:p w:rsidRPr="003D3A8A" w:rsidR="003D3A8A" w:rsidP="003D3A8A" w:rsidRDefault="003D3A8A">
      <w:pPr>
        <w:ind w:firstLine="720"/>
        <w:jc w:val="both"/>
        <w:rPr>
          <w:rFonts w:ascii="Arial" w:hAnsi="Arial" w:cs="Arial"/>
          <w:bCs/>
        </w:rPr>
      </w:pPr>
    </w:p>
    <w:p w:rsidRPr="003D3A8A" w:rsidR="003D3A8A" w:rsidP="003D3A8A" w:rsidRDefault="003D3A8A">
      <w:pPr>
        <w:jc w:val="both"/>
        <w:rPr>
          <w:rFonts w:ascii="Arial" w:hAnsi="Arial" w:cs="Arial"/>
          <w:b/>
          <w:bCs/>
        </w:rPr>
      </w:pPr>
      <w:r w:rsidRPr="003D3A8A">
        <w:rPr>
          <w:rFonts w:ascii="Arial" w:hAnsi="Arial" w:cs="Arial"/>
          <w:b/>
          <w:bCs/>
        </w:rPr>
        <w:t>I.</w:t>
      </w:r>
      <w:r w:rsidRPr="003D3A8A">
        <w:rPr>
          <w:rFonts w:ascii="Arial" w:hAnsi="Arial" w:cs="Arial"/>
          <w:b/>
          <w:bCs/>
        </w:rPr>
        <w:tab/>
        <w:t>Cooperation</w:t>
      </w:r>
    </w:p>
    <w:p w:rsidRPr="003D3A8A" w:rsidR="003D3A8A" w:rsidP="003D3A8A" w:rsidRDefault="003D3A8A">
      <w:pPr>
        <w:jc w:val="both"/>
        <w:rPr>
          <w:rFonts w:ascii="Arial" w:hAnsi="Arial" w:cs="Arial"/>
          <w:b/>
          <w:bCs/>
        </w:rPr>
      </w:pPr>
    </w:p>
    <w:p w:rsidRPr="003D3A8A" w:rsidR="003D3A8A" w:rsidP="003D3A8A" w:rsidRDefault="003D3A8A">
      <w:pPr>
        <w:jc w:val="both"/>
        <w:rPr>
          <w:rFonts w:ascii="Arial" w:hAnsi="Arial" w:cs="Arial"/>
        </w:rPr>
      </w:pPr>
      <w:r w:rsidRPr="003D3A8A">
        <w:rPr>
          <w:rFonts w:ascii="Arial" w:hAnsi="Arial" w:cs="Arial"/>
        </w:rPr>
        <w:tab/>
        <w:t>AIA believes that the proposed amendment of Rule 1 sets the proper tone for the amendments that follow.  Creating an explicit expectation that the parties (and not just the court) should construe and administer the rules to secure the “just, speedy, and inexpensive” determination of every action and proceeding highlights the significance of those goals, and serves notice that the proposal will address serious concerns about inefficient and expensive procedures that have been exacerbated over time.</w:t>
      </w:r>
    </w:p>
    <w:p w:rsidRPr="003D3A8A" w:rsidR="003D3A8A" w:rsidP="003D3A8A" w:rsidRDefault="003D3A8A">
      <w:pPr>
        <w:jc w:val="both"/>
        <w:rPr>
          <w:rFonts w:ascii="Arial" w:hAnsi="Arial" w:cs="Arial"/>
          <w:b/>
          <w:bCs/>
        </w:rPr>
      </w:pPr>
    </w:p>
    <w:p w:rsidR="002F154F" w:rsidRDefault="002F154F">
      <w:pPr>
        <w:spacing w:after="200" w:line="276" w:lineRule="auto"/>
        <w:rPr>
          <w:rFonts w:ascii="Arial" w:hAnsi="Arial" w:cs="Arial"/>
          <w:b/>
          <w:bCs/>
        </w:rPr>
      </w:pPr>
      <w:r>
        <w:rPr>
          <w:rFonts w:ascii="Arial" w:hAnsi="Arial" w:cs="Arial"/>
          <w:b/>
          <w:bCs/>
        </w:rPr>
        <w:br w:type="page"/>
      </w:r>
    </w:p>
    <w:p w:rsidRPr="003D3A8A" w:rsidR="003D3A8A" w:rsidP="003D3A8A" w:rsidRDefault="003D3A8A">
      <w:pPr>
        <w:jc w:val="both"/>
        <w:rPr>
          <w:rFonts w:ascii="Arial" w:hAnsi="Arial" w:cs="Arial"/>
          <w:b/>
          <w:bCs/>
        </w:rPr>
      </w:pPr>
      <w:r w:rsidRPr="003D3A8A">
        <w:rPr>
          <w:rFonts w:ascii="Arial" w:hAnsi="Arial" w:cs="Arial"/>
          <w:b/>
          <w:bCs/>
        </w:rPr>
        <w:lastRenderedPageBreak/>
        <w:t>II.</w:t>
      </w:r>
      <w:r w:rsidRPr="003D3A8A">
        <w:rPr>
          <w:rFonts w:ascii="Arial" w:hAnsi="Arial" w:cs="Arial"/>
          <w:b/>
          <w:bCs/>
        </w:rPr>
        <w:tab/>
        <w:t>Proportionality: Discovery Proposals</w:t>
      </w:r>
    </w:p>
    <w:p w:rsidRPr="003D3A8A" w:rsidR="003D3A8A" w:rsidP="003D3A8A" w:rsidRDefault="003D3A8A">
      <w:pPr>
        <w:jc w:val="both"/>
        <w:rPr>
          <w:rFonts w:ascii="Arial" w:hAnsi="Arial" w:cs="Arial"/>
          <w:b/>
          <w:bCs/>
        </w:rPr>
      </w:pPr>
    </w:p>
    <w:p w:rsidRPr="003D3A8A" w:rsidR="003D3A8A" w:rsidP="003D3A8A" w:rsidRDefault="003D3A8A">
      <w:pPr>
        <w:autoSpaceDE w:val="0"/>
        <w:autoSpaceDN w:val="0"/>
        <w:adjustRightInd w:val="0"/>
        <w:jc w:val="both"/>
        <w:rPr>
          <w:rFonts w:ascii="Arial" w:hAnsi="Arial" w:cs="Arial"/>
          <w:bCs/>
        </w:rPr>
      </w:pPr>
      <w:r w:rsidRPr="003D3A8A">
        <w:rPr>
          <w:rFonts w:ascii="Arial" w:hAnsi="Arial" w:cs="Arial"/>
          <w:b/>
          <w:bCs/>
        </w:rPr>
        <w:tab/>
      </w:r>
      <w:r w:rsidRPr="003D3A8A">
        <w:rPr>
          <w:rFonts w:ascii="Arial" w:hAnsi="Arial" w:cs="Arial"/>
        </w:rPr>
        <w:t>AIA agrees with the observation in the 5/8/13 memorandum that “excessive discovery occurs in a worrisome number of cases, particularly those that are complex, involve high stakes, and generate contentious adversary behavior.”  Accordingly, we support the general admonition in Rule 26(b</w:t>
      </w:r>
      <w:proofErr w:type="gramStart"/>
      <w:r w:rsidRPr="003D3A8A">
        <w:rPr>
          <w:rFonts w:ascii="Arial" w:hAnsi="Arial" w:cs="Arial"/>
        </w:rPr>
        <w:t>)(</w:t>
      </w:r>
      <w:proofErr w:type="gramEnd"/>
      <w:r w:rsidRPr="003D3A8A">
        <w:rPr>
          <w:rFonts w:ascii="Arial" w:hAnsi="Arial" w:cs="Arial"/>
        </w:rPr>
        <w:t>1) that discovery must be “proportional to the needs of the case considering the amount in controversy, the importance of the issues at stake in the action, the parties’ resources, the importance of the discovery in resolving the issues, and whether the burden or expense of the proposed discovery outweighs its likely benefit.”  We also support the many specific amendments that implement this charge by reducing the presumptive number (and, where applicable, length) of depositions, interrogatories, production requests, and requests to admit.  We believe all of the proposed limits are adequate because a court would be required to grant leave to exceed them where appropriate.</w:t>
      </w:r>
    </w:p>
    <w:p w:rsidRPr="003D3A8A" w:rsidR="003D3A8A" w:rsidP="003D3A8A" w:rsidRDefault="003D3A8A">
      <w:pPr>
        <w:jc w:val="both"/>
        <w:rPr>
          <w:rFonts w:ascii="Arial" w:hAnsi="Arial" w:cs="Arial"/>
        </w:rPr>
      </w:pPr>
    </w:p>
    <w:p w:rsidRPr="003D3A8A" w:rsidR="003D3A8A" w:rsidP="003D3A8A" w:rsidRDefault="003D3A8A">
      <w:pPr>
        <w:jc w:val="both"/>
        <w:rPr>
          <w:rFonts w:ascii="Arial" w:hAnsi="Arial" w:cs="Arial"/>
        </w:rPr>
      </w:pPr>
      <w:r w:rsidRPr="003D3A8A">
        <w:rPr>
          <w:rFonts w:ascii="Arial" w:hAnsi="Arial" w:cs="Arial"/>
        </w:rPr>
        <w:tab/>
        <w:t>Given the complexities, burdens, and expenses of preserving vast quantities of information (which frequently results in innocent mistakes), AIA strongly supports amending Rule 37 to require a finding of willfulness or bad faith in order to impose sanctions or an adverse jury instruction for failure to preserve information subject to a discovery request.  We agree with the observation in the 5/8/13 memorandum that “potential litigants who make reasonable efforts to satisfy their preservation responsibilities may do so with confidence that they will not be subjected to serious sanctions should information be lost despite those efforts.”</w:t>
      </w:r>
    </w:p>
    <w:p w:rsidRPr="003D3A8A" w:rsidR="003D3A8A" w:rsidP="003D3A8A" w:rsidRDefault="003D3A8A">
      <w:pPr>
        <w:jc w:val="both"/>
        <w:rPr>
          <w:rFonts w:ascii="Arial" w:hAnsi="Arial" w:cs="Arial"/>
        </w:rPr>
      </w:pPr>
    </w:p>
    <w:p w:rsidRPr="003D3A8A" w:rsidR="003D3A8A" w:rsidP="003D3A8A" w:rsidRDefault="003D3A8A">
      <w:pPr>
        <w:jc w:val="both"/>
        <w:rPr>
          <w:rFonts w:ascii="Arial" w:hAnsi="Arial" w:cs="Arial"/>
          <w:b/>
          <w:bCs/>
        </w:rPr>
      </w:pPr>
      <w:r w:rsidRPr="003D3A8A">
        <w:rPr>
          <w:rFonts w:ascii="Arial" w:hAnsi="Arial" w:cs="Arial"/>
          <w:b/>
          <w:bCs/>
        </w:rPr>
        <w:t>III.</w:t>
      </w:r>
      <w:r w:rsidRPr="003D3A8A">
        <w:rPr>
          <w:rFonts w:ascii="Arial" w:hAnsi="Arial" w:cs="Arial"/>
          <w:b/>
          <w:bCs/>
        </w:rPr>
        <w:tab/>
        <w:t xml:space="preserve">Case Management Proposals </w:t>
      </w:r>
    </w:p>
    <w:p w:rsidRPr="003D3A8A" w:rsidR="003D3A8A" w:rsidP="003D3A8A" w:rsidRDefault="003D3A8A">
      <w:pPr>
        <w:jc w:val="both"/>
        <w:rPr>
          <w:rFonts w:ascii="Arial" w:hAnsi="Arial" w:cs="Arial"/>
          <w:b/>
          <w:bCs/>
        </w:rPr>
      </w:pPr>
    </w:p>
    <w:p w:rsidRPr="003D3A8A" w:rsidR="003D3A8A" w:rsidP="003D3A8A" w:rsidRDefault="003D3A8A">
      <w:pPr>
        <w:jc w:val="both"/>
        <w:rPr>
          <w:rFonts w:ascii="Arial" w:hAnsi="Arial" w:cs="Arial"/>
        </w:rPr>
      </w:pPr>
      <w:r w:rsidRPr="003D3A8A">
        <w:rPr>
          <w:rFonts w:ascii="Arial" w:hAnsi="Arial" w:cs="Arial"/>
          <w:b/>
          <w:bCs/>
        </w:rPr>
        <w:tab/>
      </w:r>
      <w:r w:rsidRPr="003D3A8A">
        <w:rPr>
          <w:rFonts w:ascii="Arial" w:hAnsi="Arial" w:cs="Arial"/>
          <w:bCs/>
        </w:rPr>
        <w:t>AIA supports the proposed amendments to Rules 4 and 16, which would increase the effectiveness of judicial case management by (</w:t>
      </w:r>
      <w:proofErr w:type="spellStart"/>
      <w:r w:rsidRPr="003D3A8A">
        <w:rPr>
          <w:rFonts w:ascii="Arial" w:hAnsi="Arial" w:cs="Arial"/>
          <w:bCs/>
        </w:rPr>
        <w:t>i</w:t>
      </w:r>
      <w:proofErr w:type="spellEnd"/>
      <w:r w:rsidRPr="003D3A8A">
        <w:rPr>
          <w:rFonts w:ascii="Arial" w:hAnsi="Arial" w:cs="Arial"/>
          <w:bCs/>
        </w:rPr>
        <w:t xml:space="preserve">) reducing </w:t>
      </w:r>
      <w:r w:rsidRPr="003D3A8A">
        <w:rPr>
          <w:rFonts w:ascii="Arial" w:hAnsi="Arial" w:cs="Arial"/>
        </w:rPr>
        <w:t>the time to serve the summons and complaint; (ii) requiring judges to issue scheduling orders sooner; (iii) requiring counsel for the parties to meet in person to discuss significant issues; and (iv) permitting a court to order the parties to request a conference to discuss discovery issues prior to the filing of a discovery motion.  As with the other aspects of the rules package, these amendments should reduce both cost and delay without abridging any substantive rights.</w:t>
      </w:r>
    </w:p>
    <w:p w:rsidRPr="003D3A8A" w:rsidR="003D3A8A" w:rsidP="003D3A8A" w:rsidRDefault="003D3A8A">
      <w:pPr>
        <w:jc w:val="both"/>
        <w:rPr>
          <w:rFonts w:ascii="Arial" w:hAnsi="Arial" w:cs="Arial"/>
        </w:rPr>
      </w:pPr>
    </w:p>
    <w:p w:rsidRPr="003D3A8A" w:rsidR="003D3A8A" w:rsidP="003D3A8A" w:rsidRDefault="003D3A8A">
      <w:pPr>
        <w:jc w:val="both"/>
        <w:rPr>
          <w:rFonts w:ascii="Arial" w:hAnsi="Arial" w:cs="Arial"/>
        </w:rPr>
      </w:pPr>
      <w:r w:rsidRPr="003D3A8A">
        <w:rPr>
          <w:rFonts w:ascii="Arial" w:hAnsi="Arial" w:cs="Arial"/>
        </w:rPr>
        <w:tab/>
        <w:t xml:space="preserve">AIA appreciates the Committee’s consideration of our comments.  Should you have any questions, please contact me at (202) 828-7167 or </w:t>
      </w:r>
      <w:hyperlink w:history="1" r:id="rId8">
        <w:r w:rsidRPr="003D3A8A">
          <w:rPr>
            <w:rStyle w:val="Hyperlink"/>
            <w:rFonts w:ascii="Arial" w:hAnsi="Arial" w:cs="Arial"/>
          </w:rPr>
          <w:t>kstoller@aiadc.org</w:t>
        </w:r>
      </w:hyperlink>
      <w:r w:rsidRPr="003D3A8A">
        <w:rPr>
          <w:rFonts w:ascii="Arial" w:hAnsi="Arial" w:cs="Arial"/>
        </w:rPr>
        <w:t>.</w:t>
      </w:r>
    </w:p>
    <w:p w:rsidR="003D3A8A" w:rsidP="003D3A8A" w:rsidRDefault="003D3A8A">
      <w:pPr>
        <w:jc w:val="both"/>
      </w:pPr>
    </w:p>
    <w:p w:rsidR="00FC147E" w:rsidP="00FC147E" w:rsidRDefault="00FC147E">
      <w:pPr>
        <w:pStyle w:val="PlainText"/>
        <w:jc w:val="both"/>
        <w:rPr>
          <w:rFonts w:ascii="Arial" w:hAnsi="Arial" w:cs="Arial"/>
          <w:color w:val="000000"/>
          <w:sz w:val="24"/>
          <w:szCs w:val="24"/>
        </w:rPr>
      </w:pPr>
    </w:p>
    <w:p w:rsidR="00FC147E" w:rsidP="00FC147E" w:rsidRDefault="00FC147E">
      <w:pPr>
        <w:pStyle w:val="PlainText"/>
        <w:jc w:val="both"/>
        <w:rPr>
          <w:rFonts w:ascii="Arial" w:hAnsi="Arial" w:cs="Arial"/>
          <w:color w:val="000000"/>
          <w:sz w:val="24"/>
          <w:szCs w:val="24"/>
        </w:rPr>
      </w:pPr>
      <w:r>
        <w:rPr>
          <w:rFonts w:ascii="Arial" w:hAnsi="Arial" w:cs="Arial"/>
          <w:color w:val="000000"/>
          <w:sz w:val="24"/>
          <w:szCs w:val="24"/>
        </w:rPr>
        <w:t>Sincerely,</w:t>
      </w:r>
    </w:p>
    <w:p w:rsidR="00FC147E" w:rsidP="00FC147E" w:rsidRDefault="00FC147E">
      <w:pPr>
        <w:pStyle w:val="PlainText"/>
        <w:jc w:val="both"/>
        <w:rPr>
          <w:rFonts w:ascii="Arial" w:hAnsi="Arial" w:cs="Arial"/>
          <w:color w:val="000000"/>
          <w:sz w:val="24"/>
          <w:szCs w:val="24"/>
        </w:rPr>
      </w:pPr>
      <w:r>
        <w:rPr>
          <w:noProof/>
        </w:rPr>
        <w:drawing>
          <wp:inline distT="0" distB="0" distL="0" distR="0">
            <wp:extent cx="1600744" cy="333103"/>
            <wp:effectExtent l="19050" t="0" r="0" b="0"/>
            <wp:docPr id="2" name="Picture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0001"/>
                    <pic:cNvPicPr>
                      <a:picLocks noChangeAspect="1" noChangeArrowheads="1"/>
                    </pic:cNvPicPr>
                  </pic:nvPicPr>
                  <pic:blipFill>
                    <a:blip r:embed="rId9" cstate="print"/>
                    <a:srcRect/>
                    <a:stretch>
                      <a:fillRect/>
                    </a:stretch>
                  </pic:blipFill>
                  <pic:spPr bwMode="auto">
                    <a:xfrm>
                      <a:off x="0" y="0"/>
                      <a:ext cx="1600744" cy="333103"/>
                    </a:xfrm>
                    <a:prstGeom prst="rect">
                      <a:avLst/>
                    </a:prstGeom>
                    <a:noFill/>
                    <a:ln w="9525">
                      <a:noFill/>
                      <a:miter lim="800000"/>
                      <a:headEnd/>
                      <a:tailEnd/>
                    </a:ln>
                  </pic:spPr>
                </pic:pic>
              </a:graphicData>
            </a:graphic>
          </wp:inline>
        </w:drawing>
      </w:r>
    </w:p>
    <w:p w:rsidR="00FC147E" w:rsidP="00FC147E" w:rsidRDefault="00FC147E">
      <w:pPr>
        <w:pStyle w:val="PlainText"/>
        <w:jc w:val="both"/>
        <w:rPr>
          <w:rFonts w:ascii="Arial" w:hAnsi="Arial" w:cs="Arial"/>
          <w:color w:val="000000"/>
          <w:sz w:val="24"/>
          <w:szCs w:val="24"/>
        </w:rPr>
      </w:pPr>
      <w:r>
        <w:rPr>
          <w:rFonts w:ascii="Arial" w:hAnsi="Arial" w:cs="Arial"/>
          <w:color w:val="000000"/>
          <w:sz w:val="24"/>
          <w:szCs w:val="24"/>
        </w:rPr>
        <w:t>Kenneth A. Stoller</w:t>
      </w:r>
    </w:p>
    <w:p w:rsidRPr="00965475" w:rsidR="00FC147E" w:rsidP="00FC147E" w:rsidRDefault="00FC147E">
      <w:pPr>
        <w:pStyle w:val="PlainText"/>
        <w:jc w:val="both"/>
      </w:pPr>
      <w:r>
        <w:rPr>
          <w:rFonts w:ascii="Arial" w:hAnsi="Arial" w:cs="Arial"/>
          <w:color w:val="000000"/>
          <w:sz w:val="24"/>
          <w:szCs w:val="24"/>
        </w:rPr>
        <w:t>Assistant General Counsel</w:t>
      </w:r>
    </w:p>
    <w:sectPr w:rsidRPr="00965475" w:rsidR="00FC147E" w:rsidSect="00B44856">
      <w:footerReference w:type="default" r:id="rId10"/>
      <w:headerReference w:type="first" r:id="rId11"/>
      <w:footerReference w:type="first" r:id="rId12"/>
      <w:pgSz w:w="12240" w:h="15840" w:code="1"/>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6A8" w:rsidP="00422BDA" w:rsidRDefault="001556A8">
      <w:r>
        <w:separator/>
      </w:r>
    </w:p>
  </w:endnote>
  <w:endnote w:type="continuationSeparator" w:id="0">
    <w:p w:rsidR="001556A8" w:rsidP="00422BDA" w:rsidRDefault="001556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78970"/>
      <w:docPartObj>
        <w:docPartGallery w:val="Page Numbers (Bottom of Page)"/>
        <w:docPartUnique/>
      </w:docPartObj>
    </w:sdtPr>
    <w:sdtContent>
      <w:p w:rsidR="001556A8" w:rsidRDefault="001556A8">
        <w:pPr>
          <w:pStyle w:val="Footer"/>
          <w:jc w:val="center"/>
        </w:pPr>
        <w:fldSimple w:instr=" PAGE   \* MERGEFORMAT ">
          <w:r w:rsidR="0056689B">
            <w:rPr>
              <w:noProof/>
            </w:rPr>
            <w:t>2</w:t>
          </w:r>
        </w:fldSimple>
      </w:p>
    </w:sdtContent>
  </w:sdt>
  <w:p w:rsidR="001556A8" w:rsidRDefault="001556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6A8" w:rsidRDefault="001556A8">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6A8" w:rsidP="00422BDA" w:rsidRDefault="001556A8">
      <w:r>
        <w:separator/>
      </w:r>
    </w:p>
  </w:footnote>
  <w:footnote w:type="continuationSeparator" w:id="0">
    <w:p w:rsidR="001556A8" w:rsidP="00422BDA" w:rsidRDefault="001556A8">
      <w:r>
        <w:continuationSeparator/>
      </w:r>
    </w:p>
  </w:footnote>
</w:footnotes>
</file>

<file path=word/header1.xml><?xml version="1.0" encoding="utf-8"?>
<w:hdr xmlns:a="http://schemas.openxmlformats.org/drawingml/2006/main" xmlns:pic="http://schemas.openxmlformats.org/drawingml/2006/picture"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6A8" w:rsidRDefault="001556A8">
    <w:pPr>
      <w:rPr>
        <w:rFonts w:ascii="Helvetica-Narrow" w:hAnsi="Helvetica-Narrow"/>
        <w:sz w:val="14"/>
      </w:rPr>
    </w:pPr>
    <w:r>
      <w:rPr>
        <w:rFonts w:ascii="Arial" w:hAnsi="Arial" w:cs="Arial"/>
        <w:noProof/>
        <w:color w:val="373737"/>
        <w:sz w:val="17"/>
        <w:szCs w:val="17"/>
      </w:rPr>
      <w:drawing>
        <wp:inline distT="0" distB="0" distL="0" distR="0">
          <wp:extent cx="1784350" cy="639445"/>
          <wp:effectExtent l="19050" t="0" r="6350" b="0"/>
          <wp:docPr id="1" name="Picture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iadc.org/AIAIntranet/docHandler.aspx?DocID=325965"/>
                  <pic:cNvPicPr>
                    <a:picLocks noChangeAspect="1" noChangeArrowheads="1"/>
                  </pic:cNvPicPr>
                </pic:nvPicPr>
                <pic:blipFill>
                  <a:blip r:embed="rId1"/>
                  <a:srcRect/>
                  <a:stretch>
                    <a:fillRect/>
                  </a:stretch>
                </pic:blipFill>
                <pic:spPr bwMode="auto">
                  <a:xfrm>
                    <a:off x="0" y="0"/>
                    <a:ext cx="1784350" cy="639445"/>
                  </a:xfrm>
                  <a:prstGeom prst="rect">
                    <a:avLst/>
                  </a:prstGeom>
                  <a:noFill/>
                  <a:ln w="9525">
                    <a:noFill/>
                    <a:miter lim="800000"/>
                    <a:headEnd/>
                    <a:tailEnd/>
                  </a:ln>
                </pic:spPr>
              </pic:pic>
            </a:graphicData>
          </a:graphic>
        </wp:inline>
      </w:drawing>
    </w:r>
    <w:r>
      <w:tab/>
    </w:r>
    <w:r>
      <w:tab/>
    </w:r>
    <w:r>
      <w:tab/>
    </w:r>
    <w:r>
      <w:tab/>
      <w:t xml:space="preserve">        </w:t>
    </w:r>
    <w:r>
      <w:tab/>
      <w:t xml:space="preserve">       </w:t>
    </w:r>
    <w:r>
      <w:tab/>
    </w:r>
    <w:r>
      <w:tab/>
    </w:r>
    <w:r>
      <w:tab/>
      <w:t xml:space="preserve">        </w:t>
    </w:r>
    <w:r>
      <w:rPr>
        <w:rFonts w:ascii="Helvetica-Narrow" w:hAnsi="Helvetica-Narrow"/>
        <w:sz w:val="14"/>
      </w:rPr>
      <w:t>2101 L Street NW</w:t>
    </w:r>
  </w:p>
  <w:p w:rsidR="001556A8" w:rsidRDefault="001556A8">
    <w:pPr>
      <w:jc w:val="right"/>
      <w:rPr>
        <w:rFonts w:ascii="Helvetica-Narrow" w:hAnsi="Helvetica-Narrow"/>
        <w:sz w:val="14"/>
      </w:rPr>
    </w:pPr>
  </w:p>
  <w:p w:rsidR="001556A8" w:rsidRDefault="001556A8">
    <w:pPr>
      <w:jc w:val="right"/>
      <w:rPr>
        <w:rFonts w:ascii="Helvetica-Narrow" w:hAnsi="Helvetica-Narrow"/>
        <w:sz w:val="14"/>
      </w:rPr>
    </w:pPr>
    <w:r>
      <w:rPr>
        <w:rFonts w:ascii="Helvetica-Narrow" w:hAnsi="Helvetica-Narrow"/>
        <w:sz w:val="14"/>
      </w:rPr>
      <w:t>Suite 400</w:t>
    </w:r>
  </w:p>
  <w:p w:rsidR="001556A8" w:rsidRDefault="001556A8">
    <w:pPr>
      <w:jc w:val="right"/>
      <w:rPr>
        <w:rFonts w:ascii="Helvetica-Narrow" w:hAnsi="Helvetica-Narrow"/>
        <w:sz w:val="14"/>
      </w:rPr>
    </w:pPr>
  </w:p>
  <w:p w:rsidR="001556A8" w:rsidRDefault="001556A8">
    <w:pPr>
      <w:jc w:val="right"/>
      <w:rPr>
        <w:rFonts w:ascii="Helvetica-Narrow" w:hAnsi="Helvetica-Narrow"/>
        <w:sz w:val="14"/>
      </w:rPr>
    </w:pPr>
    <w:r>
      <w:rPr>
        <w:rFonts w:ascii="Helvetica-Narrow" w:hAnsi="Helvetica-Narrow"/>
        <w:sz w:val="14"/>
      </w:rPr>
      <w:t>Washington, DC 20037</w:t>
    </w:r>
  </w:p>
  <w:p w:rsidR="001556A8" w:rsidRDefault="001556A8">
    <w:pPr>
      <w:jc w:val="right"/>
      <w:rPr>
        <w:rFonts w:ascii="Helvetica-Narrow" w:hAnsi="Helvetica-Narrow"/>
        <w:sz w:val="14"/>
      </w:rPr>
    </w:pPr>
  </w:p>
  <w:p w:rsidR="001556A8" w:rsidRDefault="001556A8">
    <w:pPr>
      <w:jc w:val="right"/>
      <w:rPr>
        <w:rFonts w:ascii="Helvetica-Narrow" w:hAnsi="Helvetica-Narrow"/>
        <w:sz w:val="14"/>
      </w:rPr>
    </w:pPr>
    <w:r>
      <w:rPr>
        <w:rFonts w:ascii="Helvetica-Narrow" w:hAnsi="Helvetica-Narrow"/>
        <w:sz w:val="14"/>
      </w:rPr>
      <w:t>202-828-7100</w:t>
    </w:r>
  </w:p>
  <w:p w:rsidR="001556A8" w:rsidRDefault="001556A8">
    <w:pPr>
      <w:jc w:val="right"/>
      <w:rPr>
        <w:rFonts w:ascii="Helvetica-Narrow" w:hAnsi="Helvetica-Narrow"/>
        <w:sz w:val="14"/>
      </w:rPr>
    </w:pPr>
  </w:p>
  <w:p w:rsidR="001556A8" w:rsidRDefault="001556A8">
    <w:pPr>
      <w:jc w:val="right"/>
      <w:rPr>
        <w:rFonts w:ascii="Helvetica-Narrow" w:hAnsi="Helvetica-Narrow"/>
        <w:sz w:val="14"/>
      </w:rPr>
    </w:pPr>
    <w:r>
      <w:rPr>
        <w:rFonts w:ascii="Helvetica-Narrow" w:hAnsi="Helvetica-Narrow"/>
        <w:sz w:val="14"/>
      </w:rPr>
      <w:t>Fax 202-293-1219</w:t>
    </w:r>
  </w:p>
  <w:p w:rsidR="001556A8" w:rsidRDefault="001556A8">
    <w:pPr>
      <w:jc w:val="right"/>
      <w:rPr>
        <w:rFonts w:ascii="Helvetica-Narrow" w:hAnsi="Helvetica-Narrow"/>
        <w:sz w:val="14"/>
      </w:rPr>
    </w:pPr>
  </w:p>
  <w:p w:rsidR="001556A8" w:rsidRDefault="001556A8">
    <w:pPr>
      <w:jc w:val="right"/>
      <w:rPr>
        <w:rFonts w:ascii="Helvetica-Narrow" w:hAnsi="Helvetica-Narrow"/>
        <w:sz w:val="14"/>
      </w:rPr>
    </w:pPr>
    <w:r>
      <w:rPr>
        <w:rFonts w:ascii="Helvetica-Narrow" w:hAnsi="Helvetica-Narrow"/>
        <w:sz w:val="14"/>
      </w:rPr>
      <w:t>www.aiadc.org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244C2"/>
    <w:multiLevelType w:val="hybridMultilevel"/>
    <w:tmpl w:val="A796D0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2015984"/>
    <w:multiLevelType w:val="hybridMultilevel"/>
    <w:tmpl w:val="103C3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0358B5"/>
    <w:multiLevelType w:val="hybridMultilevel"/>
    <w:tmpl w:val="C8C4C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7avyWzVCGbwYOQzZWSnA+SZyqQ0=" w:salt="xMoN6KnCC28jNNyXs0bXqA=="/>
  <w:defaultTabStop w:val="720"/>
  <w:characterSpacingControl w:val="doNotCompress"/>
  <w:footnotePr>
    <w:footnote w:id="-1"/>
    <w:footnote w:id="0"/>
  </w:footnotePr>
  <w:endnotePr>
    <w:endnote w:id="-1"/>
    <w:endnote w:id="0"/>
  </w:endnotePr>
  <w:compat/>
  <w:rsids>
    <w:rsidRoot w:val="00FC147E"/>
    <w:rsid w:val="000600CB"/>
    <w:rsid w:val="001328B5"/>
    <w:rsid w:val="001500E5"/>
    <w:rsid w:val="001556A8"/>
    <w:rsid w:val="00197B53"/>
    <w:rsid w:val="001E4752"/>
    <w:rsid w:val="00256DAF"/>
    <w:rsid w:val="00265021"/>
    <w:rsid w:val="00276C12"/>
    <w:rsid w:val="00295BA3"/>
    <w:rsid w:val="002E7CC8"/>
    <w:rsid w:val="002F154F"/>
    <w:rsid w:val="00321F96"/>
    <w:rsid w:val="0038144F"/>
    <w:rsid w:val="003D3A8A"/>
    <w:rsid w:val="003E55C4"/>
    <w:rsid w:val="00422BDA"/>
    <w:rsid w:val="00424B45"/>
    <w:rsid w:val="00450F28"/>
    <w:rsid w:val="004E190B"/>
    <w:rsid w:val="005347B6"/>
    <w:rsid w:val="0056689B"/>
    <w:rsid w:val="005E090C"/>
    <w:rsid w:val="00706CEB"/>
    <w:rsid w:val="007736C8"/>
    <w:rsid w:val="008272BA"/>
    <w:rsid w:val="008B6794"/>
    <w:rsid w:val="008D6BDC"/>
    <w:rsid w:val="009058B3"/>
    <w:rsid w:val="009256AE"/>
    <w:rsid w:val="00957AFE"/>
    <w:rsid w:val="00975BD9"/>
    <w:rsid w:val="00A10F9D"/>
    <w:rsid w:val="00A51A9E"/>
    <w:rsid w:val="00AC39B0"/>
    <w:rsid w:val="00B261E3"/>
    <w:rsid w:val="00B3243B"/>
    <w:rsid w:val="00B44856"/>
    <w:rsid w:val="00C078D3"/>
    <w:rsid w:val="00C30F43"/>
    <w:rsid w:val="00C55C3D"/>
    <w:rsid w:val="00CA51AE"/>
    <w:rsid w:val="00CD5CD3"/>
    <w:rsid w:val="00D0245D"/>
    <w:rsid w:val="00D0411D"/>
    <w:rsid w:val="00D67087"/>
    <w:rsid w:val="00D7462A"/>
    <w:rsid w:val="00DC136B"/>
    <w:rsid w:val="00DF1518"/>
    <w:rsid w:val="00F337E9"/>
    <w:rsid w:val="00F3416C"/>
    <w:rsid w:val="00F57435"/>
    <w:rsid w:val="00FC0FD5"/>
    <w:rsid w:val="00FC147E"/>
    <w:rsid w:val="00FC77E8"/>
    <w:rsid w:val="00FF48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4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C147E"/>
    <w:pPr>
      <w:tabs>
        <w:tab w:val="center" w:pos="4320"/>
        <w:tab w:val="right" w:pos="8640"/>
      </w:tabs>
    </w:pPr>
  </w:style>
  <w:style w:type="character" w:customStyle="1" w:styleId="FooterChar">
    <w:name w:val="Footer Char"/>
    <w:basedOn w:val="DefaultParagraphFont"/>
    <w:link w:val="Footer"/>
    <w:uiPriority w:val="99"/>
    <w:rsid w:val="00FC147E"/>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FC147E"/>
    <w:rPr>
      <w:rFonts w:ascii="Consolas" w:hAnsi="Consolas"/>
      <w:sz w:val="21"/>
      <w:szCs w:val="21"/>
    </w:rPr>
  </w:style>
  <w:style w:type="character" w:customStyle="1" w:styleId="PlainTextChar">
    <w:name w:val="Plain Text Char"/>
    <w:basedOn w:val="DefaultParagraphFont"/>
    <w:link w:val="PlainText"/>
    <w:uiPriority w:val="99"/>
    <w:rsid w:val="00FC147E"/>
    <w:rPr>
      <w:rFonts w:ascii="Consolas" w:eastAsia="Times New Roman" w:hAnsi="Consolas" w:cs="Times New Roman"/>
      <w:sz w:val="21"/>
      <w:szCs w:val="21"/>
    </w:rPr>
  </w:style>
  <w:style w:type="paragraph" w:customStyle="1" w:styleId="default">
    <w:name w:val="default"/>
    <w:basedOn w:val="Normal"/>
    <w:rsid w:val="00FC147E"/>
    <w:pPr>
      <w:spacing w:before="100" w:beforeAutospacing="1" w:after="100" w:afterAutospacing="1"/>
    </w:pPr>
    <w:rPr>
      <w:rFonts w:eastAsia="Calibri"/>
    </w:rPr>
  </w:style>
  <w:style w:type="character" w:styleId="Hyperlink">
    <w:name w:val="Hyperlink"/>
    <w:basedOn w:val="DefaultParagraphFont"/>
    <w:uiPriority w:val="99"/>
    <w:unhideWhenUsed/>
    <w:rsid w:val="00FC147E"/>
    <w:rPr>
      <w:color w:val="0000FF"/>
      <w:u w:val="single"/>
    </w:rPr>
  </w:style>
  <w:style w:type="paragraph" w:styleId="BalloonText">
    <w:name w:val="Balloon Text"/>
    <w:basedOn w:val="Normal"/>
    <w:link w:val="BalloonTextChar"/>
    <w:uiPriority w:val="99"/>
    <w:semiHidden/>
    <w:unhideWhenUsed/>
    <w:rsid w:val="00FC147E"/>
    <w:rPr>
      <w:rFonts w:ascii="Tahoma" w:hAnsi="Tahoma" w:cs="Tahoma"/>
      <w:sz w:val="16"/>
      <w:szCs w:val="16"/>
    </w:rPr>
  </w:style>
  <w:style w:type="character" w:customStyle="1" w:styleId="BalloonTextChar">
    <w:name w:val="Balloon Text Char"/>
    <w:basedOn w:val="DefaultParagraphFont"/>
    <w:link w:val="BalloonText"/>
    <w:uiPriority w:val="99"/>
    <w:semiHidden/>
    <w:rsid w:val="00FC147E"/>
    <w:rPr>
      <w:rFonts w:ascii="Tahoma" w:eastAsia="Times New Roman" w:hAnsi="Tahoma" w:cs="Tahoma"/>
      <w:sz w:val="16"/>
      <w:szCs w:val="16"/>
    </w:rPr>
  </w:style>
  <w:style w:type="paragraph" w:styleId="CommentText">
    <w:name w:val="annotation text"/>
    <w:basedOn w:val="Normal"/>
    <w:link w:val="CommentTextChar"/>
    <w:semiHidden/>
    <w:rsid w:val="00B44856"/>
    <w:pPr>
      <w:overflowPunct w:val="0"/>
      <w:autoSpaceDE w:val="0"/>
      <w:autoSpaceDN w:val="0"/>
      <w:adjustRightInd w:val="0"/>
    </w:pPr>
    <w:rPr>
      <w:rFonts w:ascii="Arial" w:hAnsi="Arial"/>
      <w:sz w:val="20"/>
      <w:szCs w:val="20"/>
    </w:rPr>
  </w:style>
  <w:style w:type="character" w:customStyle="1" w:styleId="CommentTextChar">
    <w:name w:val="Comment Text Char"/>
    <w:basedOn w:val="DefaultParagraphFont"/>
    <w:link w:val="CommentText"/>
    <w:semiHidden/>
    <w:rsid w:val="00B44856"/>
    <w:rPr>
      <w:rFonts w:ascii="Arial" w:eastAsia="Times New Roman" w:hAnsi="Arial" w:cs="Times New Roman"/>
      <w:sz w:val="20"/>
      <w:szCs w:val="20"/>
    </w:rPr>
  </w:style>
  <w:style w:type="paragraph" w:styleId="ListParagraph">
    <w:name w:val="List Paragraph"/>
    <w:basedOn w:val="Normal"/>
    <w:uiPriority w:val="34"/>
    <w:qFormat/>
    <w:rsid w:val="00FC77E8"/>
    <w:pPr>
      <w:ind w:left="720"/>
    </w:pPr>
    <w:rPr>
      <w:rFonts w:ascii="Calibri" w:eastAsiaTheme="minorHAnsi" w:hAnsi="Calibri" w:cs="Calibri"/>
      <w:sz w:val="22"/>
      <w:szCs w:val="22"/>
    </w:rPr>
  </w:style>
  <w:style w:type="character" w:styleId="CommentReference">
    <w:name w:val="annotation reference"/>
    <w:basedOn w:val="DefaultParagraphFont"/>
    <w:uiPriority w:val="99"/>
    <w:semiHidden/>
    <w:unhideWhenUsed/>
    <w:rsid w:val="00D0245D"/>
    <w:rPr>
      <w:sz w:val="16"/>
      <w:szCs w:val="16"/>
    </w:rPr>
  </w:style>
  <w:style w:type="paragraph" w:styleId="CommentSubject">
    <w:name w:val="annotation subject"/>
    <w:basedOn w:val="CommentText"/>
    <w:next w:val="CommentText"/>
    <w:link w:val="CommentSubjectChar"/>
    <w:uiPriority w:val="99"/>
    <w:semiHidden/>
    <w:unhideWhenUsed/>
    <w:rsid w:val="00D0245D"/>
    <w:pPr>
      <w:overflowPunct/>
      <w:autoSpaceDE/>
      <w:autoSpaceDN/>
      <w:adjustRightInd/>
    </w:pPr>
    <w:rPr>
      <w:rFonts w:ascii="Times New Roman" w:hAnsi="Times New Roman"/>
      <w:b/>
      <w:bCs/>
    </w:rPr>
  </w:style>
  <w:style w:type="character" w:customStyle="1" w:styleId="CommentSubjectChar">
    <w:name w:val="Comment Subject Char"/>
    <w:basedOn w:val="CommentTextChar"/>
    <w:link w:val="CommentSubject"/>
    <w:uiPriority w:val="99"/>
    <w:semiHidden/>
    <w:rsid w:val="00D0245D"/>
    <w:rPr>
      <w:rFonts w:ascii="Times New Roman" w:hAnsi="Times New Roman"/>
      <w:b/>
      <w:bCs/>
    </w:rPr>
  </w:style>
  <w:style w:type="paragraph" w:styleId="FootnoteText">
    <w:name w:val="footnote text"/>
    <w:basedOn w:val="Normal"/>
    <w:link w:val="FootnoteTextChar"/>
    <w:uiPriority w:val="99"/>
    <w:semiHidden/>
    <w:unhideWhenUsed/>
    <w:rsid w:val="00256DAF"/>
    <w:rPr>
      <w:sz w:val="20"/>
      <w:szCs w:val="20"/>
    </w:rPr>
  </w:style>
  <w:style w:type="character" w:customStyle="1" w:styleId="FootnoteTextChar">
    <w:name w:val="Footnote Text Char"/>
    <w:basedOn w:val="DefaultParagraphFont"/>
    <w:link w:val="FootnoteText"/>
    <w:uiPriority w:val="99"/>
    <w:semiHidden/>
    <w:rsid w:val="00256DA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56DAF"/>
    <w:rPr>
      <w:vertAlign w:val="superscript"/>
    </w:rPr>
  </w:style>
  <w:style w:type="paragraph" w:customStyle="1" w:styleId="Default0">
    <w:name w:val="Default"/>
    <w:rsid w:val="003D3A8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47485510">
      <w:bodyDiv w:val="1"/>
      <w:marLeft w:val="0"/>
      <w:marRight w:val="0"/>
      <w:marTop w:val="0"/>
      <w:marBottom w:val="0"/>
      <w:divBdr>
        <w:top w:val="none" w:sz="0" w:space="0" w:color="auto"/>
        <w:left w:val="none" w:sz="0" w:space="0" w:color="auto"/>
        <w:bottom w:val="none" w:sz="0" w:space="0" w:color="auto"/>
        <w:right w:val="none" w:sz="0" w:space="0" w:color="auto"/>
      </w:divBdr>
    </w:div>
    <w:div w:id="438449503">
      <w:bodyDiv w:val="1"/>
      <w:marLeft w:val="0"/>
      <w:marRight w:val="0"/>
      <w:marTop w:val="0"/>
      <w:marBottom w:val="0"/>
      <w:divBdr>
        <w:top w:val="none" w:sz="0" w:space="0" w:color="auto"/>
        <w:left w:val="none" w:sz="0" w:space="0" w:color="auto"/>
        <w:bottom w:val="none" w:sz="0" w:space="0" w:color="auto"/>
        <w:right w:val="none" w:sz="0" w:space="0" w:color="auto"/>
      </w:divBdr>
      <w:divsChild>
        <w:div w:id="485586716">
          <w:marLeft w:val="0"/>
          <w:marRight w:val="0"/>
          <w:marTop w:val="0"/>
          <w:marBottom w:val="0"/>
          <w:divBdr>
            <w:top w:val="none" w:sz="0" w:space="0" w:color="auto"/>
            <w:left w:val="none" w:sz="0" w:space="0" w:color="auto"/>
            <w:bottom w:val="none" w:sz="0" w:space="0" w:color="auto"/>
            <w:right w:val="none" w:sz="0" w:space="0" w:color="auto"/>
          </w:divBdr>
          <w:divsChild>
            <w:div w:id="111631357">
              <w:marLeft w:val="192"/>
              <w:marRight w:val="240"/>
              <w:marTop w:val="0"/>
              <w:marBottom w:val="0"/>
              <w:divBdr>
                <w:top w:val="none" w:sz="0" w:space="0" w:color="auto"/>
                <w:left w:val="none" w:sz="0" w:space="0" w:color="auto"/>
                <w:bottom w:val="none" w:sz="0" w:space="0" w:color="auto"/>
                <w:right w:val="none" w:sz="0" w:space="0" w:color="auto"/>
              </w:divBdr>
              <w:divsChild>
                <w:div w:id="1964575561">
                  <w:marLeft w:val="0"/>
                  <w:marRight w:val="0"/>
                  <w:marTop w:val="0"/>
                  <w:marBottom w:val="0"/>
                  <w:divBdr>
                    <w:top w:val="none" w:sz="0" w:space="0" w:color="auto"/>
                    <w:left w:val="none" w:sz="0" w:space="0" w:color="auto"/>
                    <w:bottom w:val="none" w:sz="0" w:space="0" w:color="auto"/>
                    <w:right w:val="none" w:sz="0" w:space="0" w:color="auto"/>
                  </w:divBdr>
                  <w:divsChild>
                    <w:div w:id="1983926924">
                      <w:marLeft w:val="0"/>
                      <w:marRight w:val="0"/>
                      <w:marTop w:val="0"/>
                      <w:marBottom w:val="0"/>
                      <w:divBdr>
                        <w:top w:val="single" w:sz="12" w:space="2" w:color="808080"/>
                        <w:left w:val="single" w:sz="12" w:space="2" w:color="808080"/>
                        <w:bottom w:val="single" w:sz="12" w:space="2" w:color="808080"/>
                        <w:right w:val="single" w:sz="12" w:space="2" w:color="808080"/>
                      </w:divBdr>
                      <w:divsChild>
                        <w:div w:id="1659841969">
                          <w:marLeft w:val="0"/>
                          <w:marRight w:val="0"/>
                          <w:marTop w:val="0"/>
                          <w:marBottom w:val="0"/>
                          <w:divBdr>
                            <w:top w:val="none" w:sz="0" w:space="0" w:color="auto"/>
                            <w:left w:val="none" w:sz="0" w:space="0" w:color="auto"/>
                            <w:bottom w:val="single" w:sz="4" w:space="0" w:color="000000"/>
                            <w:right w:val="none" w:sz="0" w:space="0" w:color="auto"/>
                          </w:divBdr>
                          <w:divsChild>
                            <w:div w:id="2143648245">
                              <w:marLeft w:val="0"/>
                              <w:marRight w:val="0"/>
                              <w:marTop w:val="0"/>
                              <w:marBottom w:val="0"/>
                              <w:divBdr>
                                <w:top w:val="none" w:sz="0" w:space="0" w:color="auto"/>
                                <w:left w:val="none" w:sz="0" w:space="0" w:color="auto"/>
                                <w:bottom w:val="none" w:sz="0" w:space="0" w:color="auto"/>
                                <w:right w:val="none" w:sz="0" w:space="0" w:color="auto"/>
                              </w:divBdr>
                              <w:divsChild>
                                <w:div w:id="487554811">
                                  <w:marLeft w:val="0"/>
                                  <w:marRight w:val="0"/>
                                  <w:marTop w:val="0"/>
                                  <w:marBottom w:val="0"/>
                                  <w:divBdr>
                                    <w:top w:val="none" w:sz="0" w:space="0" w:color="auto"/>
                                    <w:left w:val="none" w:sz="0" w:space="0" w:color="auto"/>
                                    <w:bottom w:val="none" w:sz="0" w:space="0" w:color="auto"/>
                                    <w:right w:val="none" w:sz="0" w:space="0" w:color="auto"/>
                                  </w:divBdr>
                                  <w:divsChild>
                                    <w:div w:id="1207328205">
                                      <w:marLeft w:val="0"/>
                                      <w:marRight w:val="0"/>
                                      <w:marTop w:val="0"/>
                                      <w:marBottom w:val="0"/>
                                      <w:divBdr>
                                        <w:top w:val="none" w:sz="0" w:space="0" w:color="auto"/>
                                        <w:left w:val="none" w:sz="0" w:space="0" w:color="auto"/>
                                        <w:bottom w:val="none" w:sz="0" w:space="0" w:color="auto"/>
                                        <w:right w:val="none" w:sz="0" w:space="0" w:color="auto"/>
                                      </w:divBdr>
                                      <w:divsChild>
                                        <w:div w:id="699208032">
                                          <w:marLeft w:val="0"/>
                                          <w:marRight w:val="0"/>
                                          <w:marTop w:val="0"/>
                                          <w:marBottom w:val="0"/>
                                          <w:divBdr>
                                            <w:top w:val="none" w:sz="0" w:space="0" w:color="auto"/>
                                            <w:left w:val="none" w:sz="0" w:space="0" w:color="auto"/>
                                            <w:bottom w:val="none" w:sz="0" w:space="0" w:color="auto"/>
                                            <w:right w:val="none" w:sz="0" w:space="0" w:color="auto"/>
                                          </w:divBdr>
                                        </w:div>
                                        <w:div w:id="21917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4120862">
      <w:bodyDiv w:val="1"/>
      <w:marLeft w:val="0"/>
      <w:marRight w:val="0"/>
      <w:marTop w:val="0"/>
      <w:marBottom w:val="0"/>
      <w:divBdr>
        <w:top w:val="none" w:sz="0" w:space="0" w:color="auto"/>
        <w:left w:val="none" w:sz="0" w:space="0" w:color="auto"/>
        <w:bottom w:val="none" w:sz="0" w:space="0" w:color="auto"/>
        <w:right w:val="none" w:sz="0" w:space="0" w:color="auto"/>
      </w:divBdr>
    </w:div>
    <w:div w:id="1730496122">
      <w:bodyDiv w:val="1"/>
      <w:marLeft w:val="0"/>
      <w:marRight w:val="0"/>
      <w:marTop w:val="0"/>
      <w:marBottom w:val="0"/>
      <w:divBdr>
        <w:top w:val="none" w:sz="0" w:space="0" w:color="auto"/>
        <w:left w:val="none" w:sz="0" w:space="0" w:color="auto"/>
        <w:bottom w:val="none" w:sz="0" w:space="0" w:color="auto"/>
        <w:right w:val="none" w:sz="0" w:space="0" w:color="auto"/>
      </w:divBdr>
      <w:divsChild>
        <w:div w:id="1473328681">
          <w:marLeft w:val="0"/>
          <w:marRight w:val="0"/>
          <w:marTop w:val="0"/>
          <w:marBottom w:val="0"/>
          <w:divBdr>
            <w:top w:val="none" w:sz="0" w:space="0" w:color="auto"/>
            <w:left w:val="none" w:sz="0" w:space="0" w:color="auto"/>
            <w:bottom w:val="none" w:sz="0" w:space="0" w:color="auto"/>
            <w:right w:val="none" w:sz="0" w:space="0" w:color="auto"/>
          </w:divBdr>
          <w:divsChild>
            <w:div w:id="388040660">
              <w:marLeft w:val="192"/>
              <w:marRight w:val="240"/>
              <w:marTop w:val="0"/>
              <w:marBottom w:val="0"/>
              <w:divBdr>
                <w:top w:val="none" w:sz="0" w:space="0" w:color="auto"/>
                <w:left w:val="none" w:sz="0" w:space="0" w:color="auto"/>
                <w:bottom w:val="none" w:sz="0" w:space="0" w:color="auto"/>
                <w:right w:val="none" w:sz="0" w:space="0" w:color="auto"/>
              </w:divBdr>
              <w:divsChild>
                <w:div w:id="2003775892">
                  <w:marLeft w:val="0"/>
                  <w:marRight w:val="0"/>
                  <w:marTop w:val="0"/>
                  <w:marBottom w:val="0"/>
                  <w:divBdr>
                    <w:top w:val="none" w:sz="0" w:space="0" w:color="auto"/>
                    <w:left w:val="none" w:sz="0" w:space="0" w:color="auto"/>
                    <w:bottom w:val="none" w:sz="0" w:space="0" w:color="auto"/>
                    <w:right w:val="none" w:sz="0" w:space="0" w:color="auto"/>
                  </w:divBdr>
                  <w:divsChild>
                    <w:div w:id="1076367918">
                      <w:marLeft w:val="0"/>
                      <w:marRight w:val="0"/>
                      <w:marTop w:val="0"/>
                      <w:marBottom w:val="0"/>
                      <w:divBdr>
                        <w:top w:val="single" w:sz="12" w:space="2" w:color="808080"/>
                        <w:left w:val="single" w:sz="12" w:space="2" w:color="808080"/>
                        <w:bottom w:val="single" w:sz="12" w:space="2" w:color="808080"/>
                        <w:right w:val="single" w:sz="12" w:space="2" w:color="808080"/>
                      </w:divBdr>
                      <w:divsChild>
                        <w:div w:id="545991261">
                          <w:marLeft w:val="0"/>
                          <w:marRight w:val="0"/>
                          <w:marTop w:val="0"/>
                          <w:marBottom w:val="0"/>
                          <w:divBdr>
                            <w:top w:val="none" w:sz="0" w:space="0" w:color="auto"/>
                            <w:left w:val="none" w:sz="0" w:space="0" w:color="auto"/>
                            <w:bottom w:val="single" w:sz="4" w:space="0" w:color="000000"/>
                            <w:right w:val="none" w:sz="0" w:space="0" w:color="auto"/>
                          </w:divBdr>
                          <w:divsChild>
                            <w:div w:id="1153720955">
                              <w:marLeft w:val="0"/>
                              <w:marRight w:val="0"/>
                              <w:marTop w:val="0"/>
                              <w:marBottom w:val="0"/>
                              <w:divBdr>
                                <w:top w:val="none" w:sz="0" w:space="0" w:color="auto"/>
                                <w:left w:val="none" w:sz="0" w:space="0" w:color="auto"/>
                                <w:bottom w:val="none" w:sz="0" w:space="0" w:color="auto"/>
                                <w:right w:val="none" w:sz="0" w:space="0" w:color="auto"/>
                              </w:divBdr>
                              <w:divsChild>
                                <w:div w:id="808212384">
                                  <w:marLeft w:val="0"/>
                                  <w:marRight w:val="0"/>
                                  <w:marTop w:val="0"/>
                                  <w:marBottom w:val="0"/>
                                  <w:divBdr>
                                    <w:top w:val="none" w:sz="0" w:space="0" w:color="auto"/>
                                    <w:left w:val="none" w:sz="0" w:space="0" w:color="auto"/>
                                    <w:bottom w:val="none" w:sz="0" w:space="0" w:color="auto"/>
                                    <w:right w:val="none" w:sz="0" w:space="0" w:color="auto"/>
                                  </w:divBdr>
                                  <w:divsChild>
                                    <w:div w:id="1197817852">
                                      <w:marLeft w:val="0"/>
                                      <w:marRight w:val="0"/>
                                      <w:marTop w:val="0"/>
                                      <w:marBottom w:val="0"/>
                                      <w:divBdr>
                                        <w:top w:val="none" w:sz="0" w:space="0" w:color="auto"/>
                                        <w:left w:val="none" w:sz="0" w:space="0" w:color="auto"/>
                                        <w:bottom w:val="none" w:sz="0" w:space="0" w:color="auto"/>
                                        <w:right w:val="none" w:sz="0" w:space="0" w:color="auto"/>
                                      </w:divBdr>
                                      <w:divsChild>
                                        <w:div w:id="772554159">
                                          <w:marLeft w:val="0"/>
                                          <w:marRight w:val="0"/>
                                          <w:marTop w:val="0"/>
                                          <w:marBottom w:val="0"/>
                                          <w:divBdr>
                                            <w:top w:val="none" w:sz="0" w:space="0" w:color="auto"/>
                                            <w:left w:val="none" w:sz="0" w:space="0" w:color="auto"/>
                                            <w:bottom w:val="none" w:sz="0" w:space="0" w:color="auto"/>
                                            <w:right w:val="none" w:sz="0" w:space="0" w:color="auto"/>
                                          </w:divBdr>
                                        </w:div>
                                        <w:div w:id="15692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kstoller@aiadc.org"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image" Target="media/image1.png"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3638</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
  </cp:lastModifiedBy>
  <cp:revision>1</cp:revision>
  <dcterms:created xsi:type="dcterms:W3CDTF">1901-01-01T05:00:00Z</dcterms:created>
  <dcterms:modified xsi:type="dcterms:W3CDTF">1901-01-02T05:00:00Z</dcterms:modified>
</cp:coreProperties>
</file>