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74CF2" w14:textId="77777777" w:rsidR="00505915" w:rsidRDefault="00FD1530" w:rsidP="00754EDF">
      <w:pPr>
        <w:spacing w:after="0"/>
        <w:rPr>
          <w:b/>
          <w:sz w:val="28"/>
          <w:szCs w:val="28"/>
        </w:rPr>
      </w:pPr>
      <w:r>
        <w:rPr>
          <w:b/>
          <w:sz w:val="28"/>
          <w:szCs w:val="28"/>
        </w:rPr>
        <w:t>Authority of an Arbitration Panel to Order Confidentiality and a Hold Harmless</w:t>
      </w:r>
    </w:p>
    <w:p w14:paraId="03BFB749" w14:textId="77777777" w:rsidR="00FD1530" w:rsidRDefault="00FD1530" w:rsidP="00B212DE">
      <w:pPr>
        <w:spacing w:after="0"/>
        <w:jc w:val="center"/>
        <w:rPr>
          <w:b/>
          <w:sz w:val="28"/>
          <w:szCs w:val="28"/>
        </w:rPr>
      </w:pPr>
      <w:r>
        <w:rPr>
          <w:b/>
          <w:sz w:val="28"/>
          <w:szCs w:val="28"/>
        </w:rPr>
        <w:t>By</w:t>
      </w:r>
    </w:p>
    <w:p w14:paraId="6CE7170D" w14:textId="77777777" w:rsidR="00FD1530" w:rsidRDefault="00FD1530" w:rsidP="00B212DE">
      <w:pPr>
        <w:jc w:val="center"/>
        <w:rPr>
          <w:b/>
          <w:sz w:val="28"/>
          <w:szCs w:val="28"/>
        </w:rPr>
      </w:pPr>
      <w:r>
        <w:rPr>
          <w:b/>
          <w:sz w:val="28"/>
          <w:szCs w:val="28"/>
        </w:rPr>
        <w:t>Debra J. Hall and Robert M. Hall</w:t>
      </w:r>
    </w:p>
    <w:p w14:paraId="786C3C04" w14:textId="30188555" w:rsidR="0044468F" w:rsidRDefault="0044468F" w:rsidP="0092173F">
      <w:pPr>
        <w:pStyle w:val="NormalWeb"/>
        <w:spacing w:before="0" w:beforeAutospacing="0" w:after="0" w:afterAutospacing="0"/>
        <w:rPr>
          <w:rFonts w:asciiTheme="minorHAnsi" w:hAnsiTheme="minorHAnsi"/>
          <w:i/>
          <w:iCs/>
          <w:sz w:val="28"/>
          <w:szCs w:val="28"/>
        </w:rPr>
      </w:pPr>
      <w:r w:rsidRPr="0044468F">
        <w:rPr>
          <w:rFonts w:asciiTheme="minorHAnsi" w:hAnsiTheme="minorHAnsi"/>
          <w:i/>
          <w:iCs/>
          <w:sz w:val="28"/>
          <w:szCs w:val="28"/>
        </w:rPr>
        <w:t xml:space="preserve">Ms. Hall is an attorney, former reinsurance senior executive and is currently an active insurance/reinsurance umpire, arbitrator and expert witness. She was a litigator for more than a decade with extensive trial experience. Ms. Hall is an </w:t>
      </w:r>
      <w:r w:rsidR="00772582">
        <w:rPr>
          <w:rFonts w:asciiTheme="minorHAnsi" w:hAnsiTheme="minorHAnsi"/>
          <w:i/>
          <w:iCs/>
          <w:sz w:val="28"/>
          <w:szCs w:val="28"/>
        </w:rPr>
        <w:t>ARIAS-U.S. certifi</w:t>
      </w:r>
      <w:r w:rsidR="00835F4E">
        <w:rPr>
          <w:rFonts w:asciiTheme="minorHAnsi" w:hAnsiTheme="minorHAnsi"/>
          <w:i/>
          <w:iCs/>
          <w:sz w:val="28"/>
          <w:szCs w:val="28"/>
        </w:rPr>
        <w:t>ed arbitrator</w:t>
      </w:r>
      <w:r w:rsidR="00772582">
        <w:rPr>
          <w:rFonts w:asciiTheme="minorHAnsi" w:hAnsiTheme="minorHAnsi"/>
          <w:i/>
          <w:iCs/>
          <w:sz w:val="28"/>
          <w:szCs w:val="28"/>
        </w:rPr>
        <w:t>.</w:t>
      </w:r>
      <w:r w:rsidRPr="0044468F">
        <w:rPr>
          <w:rFonts w:asciiTheme="minorHAnsi" w:hAnsiTheme="minorHAnsi"/>
          <w:i/>
          <w:iCs/>
          <w:sz w:val="28"/>
          <w:szCs w:val="28"/>
        </w:rPr>
        <w:t xml:space="preserve"> For more detail visit her website at hallarbitrations.com or debrahalladr.com. Mr. Hall is an attorney, a former law firm partner, and a former insurance and rei</w:t>
      </w:r>
      <w:r w:rsidR="00772582">
        <w:rPr>
          <w:rFonts w:asciiTheme="minorHAnsi" w:hAnsiTheme="minorHAnsi"/>
          <w:i/>
          <w:iCs/>
          <w:sz w:val="28"/>
          <w:szCs w:val="28"/>
        </w:rPr>
        <w:t>nsurance senior executive and</w:t>
      </w:r>
      <w:r w:rsidRPr="0044468F">
        <w:rPr>
          <w:rFonts w:asciiTheme="minorHAnsi" w:hAnsiTheme="minorHAnsi"/>
          <w:i/>
          <w:iCs/>
          <w:sz w:val="28"/>
          <w:szCs w:val="28"/>
        </w:rPr>
        <w:t xml:space="preserve"> expert witness. Mr. Hall is an ARIAS-U.S. </w:t>
      </w:r>
      <w:r w:rsidR="00772582">
        <w:rPr>
          <w:rFonts w:asciiTheme="minorHAnsi" w:hAnsiTheme="minorHAnsi"/>
          <w:i/>
          <w:iCs/>
          <w:sz w:val="28"/>
          <w:szCs w:val="28"/>
        </w:rPr>
        <w:t>certified umpire and arbitrator.</w:t>
      </w:r>
      <w:r w:rsidRPr="0044468F">
        <w:rPr>
          <w:rFonts w:asciiTheme="minorHAnsi" w:hAnsiTheme="minorHAnsi"/>
          <w:i/>
          <w:iCs/>
          <w:sz w:val="28"/>
          <w:szCs w:val="28"/>
        </w:rPr>
        <w:t xml:space="preserve"> For more detail visit his website at robertmhalladr.com.</w:t>
      </w:r>
      <w:r w:rsidR="005D6C7B">
        <w:rPr>
          <w:rFonts w:asciiTheme="minorHAnsi" w:hAnsiTheme="minorHAnsi"/>
          <w:i/>
          <w:iCs/>
          <w:sz w:val="28"/>
          <w:szCs w:val="28"/>
        </w:rPr>
        <w:t xml:space="preserve"> This article does not reflect th</w:t>
      </w:r>
      <w:r w:rsidR="00B212DE">
        <w:rPr>
          <w:rFonts w:asciiTheme="minorHAnsi" w:hAnsiTheme="minorHAnsi"/>
          <w:i/>
          <w:iCs/>
          <w:sz w:val="28"/>
          <w:szCs w:val="28"/>
        </w:rPr>
        <w:t>e opinion of our clients</w:t>
      </w:r>
      <w:r w:rsidR="005D6C7B">
        <w:rPr>
          <w:rFonts w:asciiTheme="minorHAnsi" w:hAnsiTheme="minorHAnsi"/>
          <w:i/>
          <w:iCs/>
          <w:sz w:val="28"/>
          <w:szCs w:val="28"/>
        </w:rPr>
        <w:t xml:space="preserve">. </w:t>
      </w:r>
      <w:r w:rsidRPr="0044468F">
        <w:rPr>
          <w:rFonts w:asciiTheme="minorHAnsi" w:hAnsiTheme="minorHAnsi"/>
          <w:i/>
          <w:iCs/>
          <w:sz w:val="28"/>
          <w:szCs w:val="28"/>
        </w:rPr>
        <w:t xml:space="preserve"> </w:t>
      </w:r>
      <w:r w:rsidR="0069644A">
        <w:rPr>
          <w:rFonts w:asciiTheme="minorHAnsi" w:hAnsiTheme="minorHAnsi"/>
          <w:i/>
          <w:iCs/>
          <w:sz w:val="28"/>
          <w:szCs w:val="28"/>
        </w:rPr>
        <w:t>Copyright</w:t>
      </w:r>
      <w:r w:rsidR="0068168D">
        <w:rPr>
          <w:rFonts w:asciiTheme="minorHAnsi" w:hAnsiTheme="minorHAnsi"/>
          <w:i/>
          <w:iCs/>
          <w:sz w:val="28"/>
          <w:szCs w:val="28"/>
        </w:rPr>
        <w:t xml:space="preserve"> by the authors 2018.</w:t>
      </w:r>
    </w:p>
    <w:p w14:paraId="6B474DAD" w14:textId="77777777" w:rsidR="0092173F" w:rsidRDefault="0092173F" w:rsidP="0092173F">
      <w:pPr>
        <w:pStyle w:val="NormalWeb"/>
        <w:spacing w:before="0" w:beforeAutospacing="0" w:after="0" w:afterAutospacing="0"/>
        <w:rPr>
          <w:rFonts w:asciiTheme="minorHAnsi" w:hAnsiTheme="minorHAnsi"/>
          <w:i/>
          <w:iCs/>
          <w:sz w:val="28"/>
          <w:szCs w:val="28"/>
        </w:rPr>
      </w:pPr>
    </w:p>
    <w:p w14:paraId="297BD92A" w14:textId="77777777" w:rsidR="0092173F" w:rsidRDefault="0068168D" w:rsidP="0092173F">
      <w:pPr>
        <w:pStyle w:val="NormalWeb"/>
        <w:numPr>
          <w:ilvl w:val="0"/>
          <w:numId w:val="2"/>
        </w:numPr>
        <w:spacing w:before="0" w:beforeAutospacing="0" w:after="0" w:afterAutospacing="0"/>
        <w:rPr>
          <w:rFonts w:asciiTheme="minorHAnsi" w:hAnsiTheme="minorHAnsi"/>
          <w:b/>
          <w:iCs/>
          <w:sz w:val="28"/>
          <w:szCs w:val="28"/>
        </w:rPr>
      </w:pPr>
      <w:r>
        <w:rPr>
          <w:rFonts w:asciiTheme="minorHAnsi" w:hAnsiTheme="minorHAnsi"/>
          <w:b/>
          <w:iCs/>
          <w:sz w:val="28"/>
          <w:szCs w:val="28"/>
        </w:rPr>
        <w:t>Introduction</w:t>
      </w:r>
    </w:p>
    <w:p w14:paraId="37BFD00B" w14:textId="77777777" w:rsidR="00B212DE" w:rsidRDefault="00B212DE" w:rsidP="00B212DE">
      <w:pPr>
        <w:pStyle w:val="NormalWeb"/>
        <w:spacing w:before="0" w:beforeAutospacing="0" w:after="0" w:afterAutospacing="0"/>
        <w:ind w:left="1080"/>
        <w:rPr>
          <w:rFonts w:asciiTheme="minorHAnsi" w:hAnsiTheme="minorHAnsi"/>
          <w:b/>
          <w:iCs/>
          <w:sz w:val="28"/>
          <w:szCs w:val="28"/>
        </w:rPr>
      </w:pPr>
    </w:p>
    <w:p w14:paraId="0F46E8B7" w14:textId="77777777" w:rsidR="0068168D" w:rsidRDefault="0068168D" w:rsidP="0092173F">
      <w:pPr>
        <w:pStyle w:val="NormalWeb"/>
        <w:spacing w:before="0" w:beforeAutospacing="0" w:after="0" w:afterAutospacing="0"/>
        <w:rPr>
          <w:rFonts w:asciiTheme="minorHAnsi" w:hAnsiTheme="minorHAnsi"/>
          <w:iCs/>
          <w:sz w:val="28"/>
          <w:szCs w:val="28"/>
        </w:rPr>
      </w:pPr>
      <w:r w:rsidRPr="0092173F">
        <w:rPr>
          <w:rFonts w:asciiTheme="minorHAnsi" w:hAnsiTheme="minorHAnsi"/>
          <w:iCs/>
          <w:sz w:val="28"/>
          <w:szCs w:val="28"/>
        </w:rPr>
        <w:t xml:space="preserve">The arbitration clauses used in insurance and reinsurance contracts seldom call for confidentiality of the proceeding or require the parties to hold the panelists harmless.  Nonetheless, it is very common for the parties to agree to </w:t>
      </w:r>
      <w:r w:rsidR="005E445C">
        <w:rPr>
          <w:rFonts w:asciiTheme="minorHAnsi" w:hAnsiTheme="minorHAnsi"/>
          <w:iCs/>
          <w:sz w:val="28"/>
          <w:szCs w:val="28"/>
        </w:rPr>
        <w:t xml:space="preserve">both. </w:t>
      </w:r>
      <w:r w:rsidRPr="0092173F">
        <w:rPr>
          <w:rFonts w:asciiTheme="minorHAnsi" w:hAnsiTheme="minorHAnsi"/>
          <w:iCs/>
          <w:sz w:val="28"/>
          <w:szCs w:val="28"/>
        </w:rPr>
        <w:t xml:space="preserve">But </w:t>
      </w:r>
      <w:proofErr w:type="gramStart"/>
      <w:r w:rsidRPr="0092173F">
        <w:rPr>
          <w:rFonts w:asciiTheme="minorHAnsi" w:hAnsiTheme="minorHAnsi"/>
          <w:iCs/>
          <w:sz w:val="28"/>
          <w:szCs w:val="28"/>
        </w:rPr>
        <w:t>what</w:t>
      </w:r>
      <w:proofErr w:type="gramEnd"/>
      <w:r w:rsidRPr="0092173F">
        <w:rPr>
          <w:rFonts w:asciiTheme="minorHAnsi" w:hAnsiTheme="minorHAnsi"/>
          <w:iCs/>
          <w:sz w:val="28"/>
          <w:szCs w:val="28"/>
        </w:rPr>
        <w:t xml:space="preserve"> hap</w:t>
      </w:r>
      <w:r w:rsidR="005E445C">
        <w:rPr>
          <w:rFonts w:asciiTheme="minorHAnsi" w:hAnsiTheme="minorHAnsi"/>
          <w:iCs/>
          <w:sz w:val="28"/>
          <w:szCs w:val="28"/>
        </w:rPr>
        <w:t xml:space="preserve">pens when the parties don’t </w:t>
      </w:r>
      <w:r w:rsidRPr="0092173F">
        <w:rPr>
          <w:rFonts w:asciiTheme="minorHAnsi" w:hAnsiTheme="minorHAnsi"/>
          <w:iCs/>
          <w:sz w:val="28"/>
          <w:szCs w:val="28"/>
        </w:rPr>
        <w:t>agree?  Does the arbitration panel have the authority to order confidentiality and for the parties to hold the arbitrators harmless? The purpose of this article is to examine selected case la</w:t>
      </w:r>
      <w:r w:rsidR="005E445C">
        <w:rPr>
          <w:rFonts w:asciiTheme="minorHAnsi" w:hAnsiTheme="minorHAnsi"/>
          <w:iCs/>
          <w:sz w:val="28"/>
          <w:szCs w:val="28"/>
        </w:rPr>
        <w:t>w and related materials that may shed some light on this question</w:t>
      </w:r>
      <w:r w:rsidRPr="0092173F">
        <w:rPr>
          <w:rFonts w:asciiTheme="minorHAnsi" w:hAnsiTheme="minorHAnsi"/>
          <w:iCs/>
          <w:sz w:val="28"/>
          <w:szCs w:val="28"/>
        </w:rPr>
        <w:t>.</w:t>
      </w:r>
    </w:p>
    <w:p w14:paraId="2E5A80C2" w14:textId="77777777" w:rsidR="0092173F" w:rsidRPr="0092173F" w:rsidRDefault="0092173F" w:rsidP="0092173F">
      <w:pPr>
        <w:pStyle w:val="NormalWeb"/>
        <w:spacing w:before="0" w:beforeAutospacing="0" w:after="0" w:afterAutospacing="0"/>
        <w:rPr>
          <w:rFonts w:asciiTheme="minorHAnsi" w:hAnsiTheme="minorHAnsi"/>
          <w:b/>
          <w:iCs/>
          <w:sz w:val="28"/>
          <w:szCs w:val="28"/>
        </w:rPr>
      </w:pPr>
    </w:p>
    <w:p w14:paraId="610A68DE" w14:textId="77777777" w:rsidR="005E445C" w:rsidRPr="00B212DE" w:rsidRDefault="00A412CC" w:rsidP="0092173F">
      <w:pPr>
        <w:pStyle w:val="NormalWeb"/>
        <w:numPr>
          <w:ilvl w:val="0"/>
          <w:numId w:val="2"/>
        </w:numPr>
        <w:spacing w:before="0" w:beforeAutospacing="0" w:after="0" w:afterAutospacing="0"/>
        <w:rPr>
          <w:rFonts w:asciiTheme="minorHAnsi" w:hAnsiTheme="minorHAnsi"/>
          <w:iCs/>
          <w:sz w:val="28"/>
          <w:szCs w:val="28"/>
        </w:rPr>
      </w:pPr>
      <w:r w:rsidRPr="005E445C">
        <w:rPr>
          <w:rFonts w:asciiTheme="minorHAnsi" w:hAnsiTheme="minorHAnsi"/>
          <w:b/>
          <w:iCs/>
          <w:sz w:val="28"/>
          <w:szCs w:val="28"/>
        </w:rPr>
        <w:t xml:space="preserve">Procedures and Guidelines </w:t>
      </w:r>
    </w:p>
    <w:p w14:paraId="549CF862" w14:textId="77777777" w:rsidR="00B212DE" w:rsidRPr="005E445C" w:rsidRDefault="00B212DE" w:rsidP="00B212DE">
      <w:pPr>
        <w:pStyle w:val="NormalWeb"/>
        <w:spacing w:before="0" w:beforeAutospacing="0" w:after="0" w:afterAutospacing="0"/>
        <w:ind w:left="1080"/>
        <w:rPr>
          <w:rFonts w:asciiTheme="minorHAnsi" w:hAnsiTheme="minorHAnsi"/>
          <w:iCs/>
          <w:sz w:val="28"/>
          <w:szCs w:val="28"/>
        </w:rPr>
      </w:pPr>
    </w:p>
    <w:p w14:paraId="6765F70B" w14:textId="77777777" w:rsidR="003641D6" w:rsidRDefault="00045194" w:rsidP="005E445C">
      <w:pPr>
        <w:pStyle w:val="NormalWeb"/>
        <w:spacing w:before="0" w:beforeAutospacing="0" w:after="0" w:afterAutospacing="0"/>
        <w:rPr>
          <w:rFonts w:asciiTheme="minorHAnsi" w:hAnsiTheme="minorHAnsi"/>
          <w:iCs/>
          <w:sz w:val="28"/>
          <w:szCs w:val="28"/>
        </w:rPr>
      </w:pPr>
      <w:r w:rsidRPr="005E445C">
        <w:rPr>
          <w:rFonts w:asciiTheme="minorHAnsi" w:hAnsiTheme="minorHAnsi"/>
          <w:iCs/>
          <w:sz w:val="28"/>
          <w:szCs w:val="28"/>
        </w:rPr>
        <w:t>The issues of confidentiality and panel hold harmle</w:t>
      </w:r>
      <w:r w:rsidR="007104E3">
        <w:rPr>
          <w:rFonts w:asciiTheme="minorHAnsi" w:hAnsiTheme="minorHAnsi"/>
          <w:iCs/>
          <w:sz w:val="28"/>
          <w:szCs w:val="28"/>
        </w:rPr>
        <w:t>ss may be resolved by any rules</w:t>
      </w:r>
      <w:r w:rsidRPr="005E445C">
        <w:rPr>
          <w:rFonts w:asciiTheme="minorHAnsi" w:hAnsiTheme="minorHAnsi"/>
          <w:iCs/>
          <w:sz w:val="28"/>
          <w:szCs w:val="28"/>
        </w:rPr>
        <w:t xml:space="preserve"> or procedures by which </w:t>
      </w:r>
      <w:r w:rsidR="007104E3">
        <w:rPr>
          <w:rFonts w:asciiTheme="minorHAnsi" w:hAnsiTheme="minorHAnsi"/>
          <w:iCs/>
          <w:sz w:val="28"/>
          <w:szCs w:val="28"/>
        </w:rPr>
        <w:t xml:space="preserve">an individual </w:t>
      </w:r>
      <w:r w:rsidR="007436C7" w:rsidRPr="005E445C">
        <w:rPr>
          <w:rFonts w:asciiTheme="minorHAnsi" w:hAnsiTheme="minorHAnsi"/>
          <w:iCs/>
          <w:sz w:val="28"/>
          <w:szCs w:val="28"/>
        </w:rPr>
        <w:t>arbitration</w:t>
      </w:r>
      <w:r w:rsidRPr="005E445C">
        <w:rPr>
          <w:rFonts w:asciiTheme="minorHAnsi" w:hAnsiTheme="minorHAnsi"/>
          <w:iCs/>
          <w:sz w:val="28"/>
          <w:szCs w:val="28"/>
        </w:rPr>
        <w:t xml:space="preserve"> is </w:t>
      </w:r>
      <w:r w:rsidR="007104E3">
        <w:rPr>
          <w:rFonts w:asciiTheme="minorHAnsi" w:hAnsiTheme="minorHAnsi"/>
          <w:iCs/>
          <w:sz w:val="28"/>
          <w:szCs w:val="28"/>
        </w:rPr>
        <w:t xml:space="preserve">to be </w:t>
      </w:r>
      <w:r w:rsidRPr="005E445C">
        <w:rPr>
          <w:rFonts w:asciiTheme="minorHAnsi" w:hAnsiTheme="minorHAnsi"/>
          <w:iCs/>
          <w:sz w:val="28"/>
          <w:szCs w:val="28"/>
        </w:rPr>
        <w:t xml:space="preserve">conducted.  For instance, </w:t>
      </w:r>
      <w:r w:rsidR="003641D6">
        <w:rPr>
          <w:rFonts w:asciiTheme="minorHAnsi" w:hAnsiTheme="minorHAnsi"/>
          <w:iCs/>
          <w:sz w:val="28"/>
          <w:szCs w:val="28"/>
        </w:rPr>
        <w:t>with respect to hold harmless:</w:t>
      </w:r>
    </w:p>
    <w:p w14:paraId="4DC35E80" w14:textId="77777777" w:rsidR="003641D6" w:rsidRDefault="003641D6" w:rsidP="005E445C">
      <w:pPr>
        <w:pStyle w:val="NormalWeb"/>
        <w:spacing w:before="0" w:beforeAutospacing="0" w:after="0" w:afterAutospacing="0"/>
        <w:rPr>
          <w:rFonts w:asciiTheme="minorHAnsi" w:hAnsiTheme="minorHAnsi"/>
          <w:iCs/>
          <w:sz w:val="28"/>
          <w:szCs w:val="28"/>
        </w:rPr>
      </w:pPr>
    </w:p>
    <w:p w14:paraId="5B0D37DB" w14:textId="77777777" w:rsidR="003641D6" w:rsidRDefault="003245E7" w:rsidP="003641D6">
      <w:pPr>
        <w:pStyle w:val="NormalWeb"/>
        <w:numPr>
          <w:ilvl w:val="0"/>
          <w:numId w:val="4"/>
        </w:numPr>
        <w:spacing w:before="0" w:beforeAutospacing="0" w:after="0" w:afterAutospacing="0"/>
        <w:rPr>
          <w:rFonts w:asciiTheme="minorHAnsi" w:hAnsiTheme="minorHAnsi"/>
          <w:iCs/>
          <w:sz w:val="28"/>
          <w:szCs w:val="28"/>
        </w:rPr>
      </w:pPr>
      <w:r>
        <w:rPr>
          <w:rFonts w:asciiTheme="minorHAnsi" w:hAnsiTheme="minorHAnsi"/>
          <w:iCs/>
          <w:sz w:val="28"/>
          <w:szCs w:val="28"/>
        </w:rPr>
        <w:t>The ARIAS-U.S.</w:t>
      </w:r>
      <w:r w:rsidR="00045194" w:rsidRPr="005E445C">
        <w:rPr>
          <w:rFonts w:asciiTheme="minorHAnsi" w:hAnsiTheme="minorHAnsi"/>
          <w:iCs/>
          <w:sz w:val="28"/>
          <w:szCs w:val="28"/>
        </w:rPr>
        <w:t xml:space="preserve"> Practical Guide to Reinsurance Arbitration Procedure (2004 Revised Edition)</w:t>
      </w:r>
      <w:r>
        <w:rPr>
          <w:rFonts w:asciiTheme="minorHAnsi" w:hAnsiTheme="minorHAnsi"/>
          <w:iCs/>
          <w:sz w:val="28"/>
          <w:szCs w:val="28"/>
        </w:rPr>
        <w:t xml:space="preserve"> (ARIAS-U.S. Guide)</w:t>
      </w:r>
      <w:r w:rsidR="00045194" w:rsidRPr="005E445C">
        <w:rPr>
          <w:rFonts w:asciiTheme="minorHAnsi" w:hAnsiTheme="minorHAnsi"/>
          <w:iCs/>
          <w:sz w:val="28"/>
          <w:szCs w:val="28"/>
        </w:rPr>
        <w:t xml:space="preserve"> addresses hold harmless in </w:t>
      </w:r>
      <w:r w:rsidR="00045194" w:rsidRPr="005E445C">
        <w:rPr>
          <w:rFonts w:ascii="Calibri" w:hAnsi="Calibri"/>
          <w:iCs/>
          <w:sz w:val="28"/>
          <w:szCs w:val="28"/>
        </w:rPr>
        <w:t>§</w:t>
      </w:r>
      <w:r w:rsidR="00045194" w:rsidRPr="005E445C">
        <w:rPr>
          <w:rFonts w:asciiTheme="minorHAnsi" w:hAnsiTheme="minorHAnsi"/>
          <w:iCs/>
          <w:sz w:val="28"/>
          <w:szCs w:val="28"/>
        </w:rPr>
        <w:t xml:space="preserve"> 3.7 dealing with Formal Acceptance of the Panel.  Comments to this section state that absent extraordinary circumstances, panel members should be held harmless</w:t>
      </w:r>
      <w:r w:rsidR="003641D6">
        <w:rPr>
          <w:rFonts w:asciiTheme="minorHAnsi" w:hAnsiTheme="minorHAnsi"/>
          <w:iCs/>
          <w:sz w:val="28"/>
          <w:szCs w:val="28"/>
        </w:rPr>
        <w:t xml:space="preserve"> and provides sample forms;</w:t>
      </w:r>
      <w:r w:rsidR="004E1A30" w:rsidRPr="005E445C">
        <w:rPr>
          <w:rFonts w:asciiTheme="minorHAnsi" w:hAnsiTheme="minorHAnsi"/>
          <w:iCs/>
          <w:sz w:val="28"/>
          <w:szCs w:val="28"/>
        </w:rPr>
        <w:t xml:space="preserve"> </w:t>
      </w:r>
    </w:p>
    <w:p w14:paraId="2524A0DB" w14:textId="77777777" w:rsidR="003641D6" w:rsidRDefault="003245E7" w:rsidP="003641D6">
      <w:pPr>
        <w:pStyle w:val="NormalWeb"/>
        <w:numPr>
          <w:ilvl w:val="0"/>
          <w:numId w:val="4"/>
        </w:numPr>
        <w:spacing w:before="0" w:beforeAutospacing="0" w:after="0" w:afterAutospacing="0"/>
        <w:rPr>
          <w:rFonts w:asciiTheme="minorHAnsi" w:hAnsiTheme="minorHAnsi"/>
          <w:iCs/>
          <w:sz w:val="28"/>
          <w:szCs w:val="28"/>
        </w:rPr>
      </w:pPr>
      <w:r>
        <w:rPr>
          <w:rFonts w:asciiTheme="minorHAnsi" w:hAnsiTheme="minorHAnsi"/>
          <w:iCs/>
          <w:sz w:val="28"/>
          <w:szCs w:val="28"/>
        </w:rPr>
        <w:t>The ARIAS-</w:t>
      </w:r>
      <w:r w:rsidR="003641D6">
        <w:rPr>
          <w:rFonts w:asciiTheme="minorHAnsi" w:hAnsiTheme="minorHAnsi"/>
          <w:iCs/>
          <w:sz w:val="28"/>
          <w:szCs w:val="28"/>
        </w:rPr>
        <w:t>U.S. Rules for the Resolution of U.S. Insurance and Reinsurance Disputes (2014)</w:t>
      </w:r>
      <w:r>
        <w:rPr>
          <w:rFonts w:asciiTheme="minorHAnsi" w:hAnsiTheme="minorHAnsi"/>
          <w:iCs/>
          <w:sz w:val="28"/>
          <w:szCs w:val="28"/>
        </w:rPr>
        <w:t xml:space="preserve"> (ARIAS-U.S. Rules)</w:t>
      </w:r>
      <w:r w:rsidR="003641D6">
        <w:rPr>
          <w:rFonts w:asciiTheme="minorHAnsi" w:hAnsiTheme="minorHAnsi"/>
          <w:iCs/>
          <w:sz w:val="28"/>
          <w:szCs w:val="28"/>
        </w:rPr>
        <w:t xml:space="preserve"> addresses hold harmless procedures in </w:t>
      </w:r>
      <w:r w:rsidR="003641D6">
        <w:rPr>
          <w:rFonts w:ascii="Calibri" w:hAnsi="Calibri"/>
          <w:iCs/>
          <w:sz w:val="28"/>
          <w:szCs w:val="28"/>
        </w:rPr>
        <w:t>§</w:t>
      </w:r>
      <w:r w:rsidR="003641D6">
        <w:rPr>
          <w:rFonts w:asciiTheme="minorHAnsi" w:hAnsiTheme="minorHAnsi"/>
          <w:iCs/>
          <w:sz w:val="28"/>
          <w:szCs w:val="28"/>
        </w:rPr>
        <w:t xml:space="preserve"> </w:t>
      </w:r>
      <w:r w:rsidR="003641D6">
        <w:rPr>
          <w:rFonts w:asciiTheme="minorHAnsi" w:hAnsiTheme="minorHAnsi"/>
          <w:iCs/>
          <w:sz w:val="28"/>
          <w:szCs w:val="28"/>
        </w:rPr>
        <w:lastRenderedPageBreak/>
        <w:t>10, requiring the parties to confer and seek agreement on various items, including whether a hold harmless or indemnification agreement flowing to the Panel and whether the ARIAS-U.S. for should be used;</w:t>
      </w:r>
      <w:r w:rsidR="00241C93">
        <w:rPr>
          <w:rFonts w:asciiTheme="minorHAnsi" w:hAnsiTheme="minorHAnsi"/>
          <w:iCs/>
          <w:sz w:val="28"/>
          <w:szCs w:val="28"/>
        </w:rPr>
        <w:t xml:space="preserve"> and</w:t>
      </w:r>
    </w:p>
    <w:p w14:paraId="093BB24D" w14:textId="77777777" w:rsidR="003641D6" w:rsidRDefault="003641D6" w:rsidP="003641D6">
      <w:pPr>
        <w:pStyle w:val="NormalWeb"/>
        <w:numPr>
          <w:ilvl w:val="0"/>
          <w:numId w:val="4"/>
        </w:numPr>
        <w:spacing w:before="0" w:beforeAutospacing="0" w:after="0" w:afterAutospacing="0"/>
        <w:rPr>
          <w:rFonts w:asciiTheme="minorHAnsi" w:hAnsiTheme="minorHAnsi"/>
          <w:iCs/>
          <w:sz w:val="28"/>
          <w:szCs w:val="28"/>
        </w:rPr>
      </w:pPr>
      <w:r>
        <w:rPr>
          <w:rFonts w:asciiTheme="minorHAnsi" w:hAnsiTheme="minorHAnsi"/>
          <w:iCs/>
          <w:sz w:val="28"/>
          <w:szCs w:val="28"/>
        </w:rPr>
        <w:t xml:space="preserve">The American Arbitration Agreement (AAA) Commercial Arbitration Rules and Mediation Procedures </w:t>
      </w:r>
      <w:r w:rsidR="003245E7">
        <w:rPr>
          <w:rFonts w:asciiTheme="minorHAnsi" w:hAnsiTheme="minorHAnsi"/>
          <w:iCs/>
          <w:sz w:val="28"/>
          <w:szCs w:val="28"/>
        </w:rPr>
        <w:t xml:space="preserve">(AAA Commercial Rules) </w:t>
      </w:r>
      <w:r>
        <w:rPr>
          <w:rFonts w:asciiTheme="minorHAnsi" w:hAnsiTheme="minorHAnsi"/>
          <w:iCs/>
          <w:sz w:val="28"/>
          <w:szCs w:val="28"/>
        </w:rPr>
        <w:t xml:space="preserve">do not address the issue of hold harmless or immunity of the panel. </w:t>
      </w:r>
    </w:p>
    <w:p w14:paraId="5233E50D" w14:textId="77777777" w:rsidR="003245E7" w:rsidRDefault="003245E7" w:rsidP="003641D6">
      <w:pPr>
        <w:pStyle w:val="NormalWeb"/>
        <w:spacing w:before="0" w:beforeAutospacing="0" w:after="0" w:afterAutospacing="0"/>
        <w:rPr>
          <w:rFonts w:asciiTheme="minorHAnsi" w:hAnsiTheme="minorHAnsi"/>
          <w:iCs/>
          <w:sz w:val="28"/>
          <w:szCs w:val="28"/>
        </w:rPr>
      </w:pPr>
    </w:p>
    <w:p w14:paraId="2BE6FC97" w14:textId="77777777" w:rsidR="003641D6" w:rsidRDefault="003245E7" w:rsidP="003641D6">
      <w:pPr>
        <w:pStyle w:val="NormalWeb"/>
        <w:spacing w:before="0" w:beforeAutospacing="0" w:after="0" w:afterAutospacing="0"/>
        <w:rPr>
          <w:rFonts w:asciiTheme="minorHAnsi" w:hAnsiTheme="minorHAnsi"/>
          <w:iCs/>
          <w:sz w:val="28"/>
          <w:szCs w:val="28"/>
        </w:rPr>
      </w:pPr>
      <w:r>
        <w:rPr>
          <w:rFonts w:asciiTheme="minorHAnsi" w:hAnsiTheme="minorHAnsi"/>
          <w:iCs/>
          <w:sz w:val="28"/>
          <w:szCs w:val="28"/>
        </w:rPr>
        <w:t>Rules and procedures address the issue of confidentiality as follows:</w:t>
      </w:r>
    </w:p>
    <w:p w14:paraId="5774F0AA" w14:textId="77777777" w:rsidR="003641D6" w:rsidRDefault="003641D6" w:rsidP="003641D6">
      <w:pPr>
        <w:pStyle w:val="NormalWeb"/>
        <w:spacing w:before="0" w:beforeAutospacing="0" w:after="0" w:afterAutospacing="0"/>
        <w:rPr>
          <w:rFonts w:asciiTheme="minorHAnsi" w:hAnsiTheme="minorHAnsi"/>
          <w:iCs/>
          <w:sz w:val="28"/>
          <w:szCs w:val="28"/>
        </w:rPr>
      </w:pPr>
    </w:p>
    <w:p w14:paraId="3C41925C" w14:textId="77777777" w:rsidR="002C3A79" w:rsidRDefault="005E445C" w:rsidP="003641D6">
      <w:pPr>
        <w:pStyle w:val="NormalWeb"/>
        <w:numPr>
          <w:ilvl w:val="0"/>
          <w:numId w:val="4"/>
        </w:numPr>
        <w:spacing w:before="0" w:beforeAutospacing="0" w:after="0" w:afterAutospacing="0"/>
        <w:rPr>
          <w:rFonts w:asciiTheme="minorHAnsi" w:hAnsiTheme="minorHAnsi"/>
          <w:iCs/>
          <w:sz w:val="28"/>
          <w:szCs w:val="28"/>
        </w:rPr>
      </w:pPr>
      <w:r>
        <w:rPr>
          <w:rFonts w:asciiTheme="minorHAnsi" w:hAnsiTheme="minorHAnsi"/>
          <w:iCs/>
          <w:sz w:val="28"/>
          <w:szCs w:val="28"/>
        </w:rPr>
        <w:t xml:space="preserve">The </w:t>
      </w:r>
      <w:r w:rsidR="003245E7">
        <w:rPr>
          <w:rFonts w:asciiTheme="minorHAnsi" w:hAnsiTheme="minorHAnsi"/>
          <w:iCs/>
          <w:sz w:val="28"/>
          <w:szCs w:val="28"/>
        </w:rPr>
        <w:t xml:space="preserve">ARIAS-U.S. </w:t>
      </w:r>
      <w:r>
        <w:rPr>
          <w:rFonts w:asciiTheme="minorHAnsi" w:hAnsiTheme="minorHAnsi"/>
          <w:iCs/>
          <w:sz w:val="28"/>
          <w:szCs w:val="28"/>
        </w:rPr>
        <w:t xml:space="preserve">Guide, at </w:t>
      </w:r>
      <w:r w:rsidR="004E1A30" w:rsidRPr="005E445C">
        <w:rPr>
          <w:rFonts w:ascii="Calibri" w:hAnsi="Calibri"/>
          <w:iCs/>
          <w:sz w:val="28"/>
          <w:szCs w:val="28"/>
        </w:rPr>
        <w:t>§</w:t>
      </w:r>
      <w:r w:rsidR="004E1A30" w:rsidRPr="005E445C">
        <w:rPr>
          <w:rFonts w:asciiTheme="minorHAnsi" w:hAnsiTheme="minorHAnsi"/>
          <w:iCs/>
          <w:sz w:val="28"/>
          <w:szCs w:val="28"/>
        </w:rPr>
        <w:t xml:space="preserve"> 3.8 notes a general agreement throughout the industry that reinsurance arbitrations should be confidential in most circumstances</w:t>
      </w:r>
      <w:r w:rsidR="003245E7">
        <w:rPr>
          <w:rFonts w:asciiTheme="minorHAnsi" w:hAnsiTheme="minorHAnsi"/>
          <w:iCs/>
          <w:sz w:val="28"/>
          <w:szCs w:val="28"/>
        </w:rPr>
        <w:t xml:space="preserve">, “even absent the parties’ complete agreement.” </w:t>
      </w:r>
      <w:r w:rsidR="004E1A30" w:rsidRPr="005E445C">
        <w:rPr>
          <w:rFonts w:asciiTheme="minorHAnsi" w:hAnsiTheme="minorHAnsi"/>
          <w:iCs/>
          <w:sz w:val="28"/>
          <w:szCs w:val="28"/>
        </w:rPr>
        <w:t xml:space="preserve"> </w:t>
      </w:r>
      <w:r w:rsidR="003245E7">
        <w:rPr>
          <w:rFonts w:asciiTheme="minorHAnsi" w:hAnsiTheme="minorHAnsi"/>
          <w:iCs/>
          <w:sz w:val="28"/>
          <w:szCs w:val="28"/>
        </w:rPr>
        <w:t xml:space="preserve">The ARIAS-U.S. Guide suggests that in the absence of agreement, the panel should consider the arguments of the parties and, in its discretion, enter an appropriate order. </w:t>
      </w:r>
      <w:r w:rsidR="00241C93">
        <w:rPr>
          <w:rFonts w:asciiTheme="minorHAnsi" w:hAnsiTheme="minorHAnsi"/>
          <w:iCs/>
          <w:sz w:val="28"/>
          <w:szCs w:val="28"/>
        </w:rPr>
        <w:t xml:space="preserve">It </w:t>
      </w:r>
      <w:r w:rsidR="003245E7">
        <w:rPr>
          <w:rFonts w:asciiTheme="minorHAnsi" w:hAnsiTheme="minorHAnsi"/>
          <w:iCs/>
          <w:sz w:val="28"/>
          <w:szCs w:val="28"/>
        </w:rPr>
        <w:t xml:space="preserve">also attaches </w:t>
      </w:r>
      <w:r w:rsidR="00515A06" w:rsidRPr="005E445C">
        <w:rPr>
          <w:rFonts w:asciiTheme="minorHAnsi" w:hAnsiTheme="minorHAnsi"/>
          <w:iCs/>
          <w:sz w:val="28"/>
          <w:szCs w:val="28"/>
        </w:rPr>
        <w:t>sample</w:t>
      </w:r>
      <w:r w:rsidR="00241C93">
        <w:rPr>
          <w:rFonts w:asciiTheme="minorHAnsi" w:hAnsiTheme="minorHAnsi"/>
          <w:iCs/>
          <w:sz w:val="28"/>
          <w:szCs w:val="28"/>
        </w:rPr>
        <w:t xml:space="preserve"> forms;</w:t>
      </w:r>
    </w:p>
    <w:p w14:paraId="3A989CC7" w14:textId="77777777" w:rsidR="003641D6" w:rsidRDefault="003641D6" w:rsidP="003641D6">
      <w:pPr>
        <w:pStyle w:val="NormalWeb"/>
        <w:numPr>
          <w:ilvl w:val="0"/>
          <w:numId w:val="4"/>
        </w:numPr>
        <w:spacing w:before="0" w:beforeAutospacing="0" w:after="0" w:afterAutospacing="0"/>
        <w:rPr>
          <w:rFonts w:asciiTheme="minorHAnsi" w:hAnsiTheme="minorHAnsi"/>
          <w:iCs/>
          <w:sz w:val="28"/>
          <w:szCs w:val="28"/>
        </w:rPr>
      </w:pPr>
      <w:r>
        <w:rPr>
          <w:rFonts w:asciiTheme="minorHAnsi" w:hAnsiTheme="minorHAnsi"/>
          <w:iCs/>
          <w:sz w:val="28"/>
          <w:szCs w:val="28"/>
        </w:rPr>
        <w:t xml:space="preserve">The ARIAS – U.S. Rules </w:t>
      </w:r>
      <w:r w:rsidR="00241C93">
        <w:rPr>
          <w:rFonts w:asciiTheme="minorHAnsi" w:hAnsiTheme="minorHAnsi"/>
          <w:iCs/>
          <w:sz w:val="28"/>
          <w:szCs w:val="28"/>
        </w:rPr>
        <w:t>address</w:t>
      </w:r>
      <w:r>
        <w:rPr>
          <w:rFonts w:asciiTheme="minorHAnsi" w:hAnsiTheme="minorHAnsi"/>
          <w:iCs/>
          <w:sz w:val="28"/>
          <w:szCs w:val="28"/>
        </w:rPr>
        <w:t xml:space="preserve"> confidentiality in </w:t>
      </w:r>
      <w:r>
        <w:rPr>
          <w:rFonts w:ascii="Calibri" w:hAnsi="Calibri"/>
          <w:iCs/>
          <w:sz w:val="28"/>
          <w:szCs w:val="28"/>
        </w:rPr>
        <w:t>§</w:t>
      </w:r>
      <w:r w:rsidR="00241C93">
        <w:rPr>
          <w:rFonts w:asciiTheme="minorHAnsi" w:hAnsiTheme="minorHAnsi"/>
          <w:iCs/>
          <w:sz w:val="28"/>
          <w:szCs w:val="28"/>
        </w:rPr>
        <w:t xml:space="preserve"> 7.  Both </w:t>
      </w:r>
      <w:r w:rsidR="00241C93">
        <w:rPr>
          <w:rFonts w:ascii="Calibri" w:hAnsi="Calibri"/>
          <w:iCs/>
          <w:sz w:val="28"/>
          <w:szCs w:val="28"/>
        </w:rPr>
        <w:t>§</w:t>
      </w:r>
      <w:r w:rsidR="00241C93">
        <w:rPr>
          <w:rFonts w:asciiTheme="minorHAnsi" w:hAnsiTheme="minorHAnsi"/>
          <w:iCs/>
          <w:sz w:val="28"/>
          <w:szCs w:val="28"/>
        </w:rPr>
        <w:t xml:space="preserve"> 7.1 and </w:t>
      </w:r>
      <w:r w:rsidR="00241C93">
        <w:rPr>
          <w:rFonts w:ascii="Calibri" w:hAnsi="Calibri"/>
          <w:iCs/>
          <w:sz w:val="28"/>
          <w:szCs w:val="28"/>
        </w:rPr>
        <w:t>§</w:t>
      </w:r>
      <w:r w:rsidR="00241C93">
        <w:rPr>
          <w:rFonts w:asciiTheme="minorHAnsi" w:hAnsiTheme="minorHAnsi"/>
          <w:iCs/>
          <w:sz w:val="28"/>
          <w:szCs w:val="28"/>
        </w:rPr>
        <w:t xml:space="preserve"> 7.2 provide </w:t>
      </w:r>
      <w:r>
        <w:rPr>
          <w:rFonts w:asciiTheme="minorHAnsi" w:hAnsiTheme="minorHAnsi"/>
          <w:iCs/>
          <w:sz w:val="28"/>
          <w:szCs w:val="28"/>
        </w:rPr>
        <w:t xml:space="preserve">that unless otherwise agreed by the parties to the arbitration, or ordered by the panel, </w:t>
      </w:r>
      <w:r w:rsidR="00241C93">
        <w:rPr>
          <w:rFonts w:asciiTheme="minorHAnsi" w:hAnsiTheme="minorHAnsi"/>
          <w:iCs/>
          <w:sz w:val="28"/>
          <w:szCs w:val="28"/>
        </w:rPr>
        <w:t xml:space="preserve">upon a motion by one party and a showing of good cause, </w:t>
      </w:r>
      <w:r>
        <w:rPr>
          <w:rFonts w:asciiTheme="minorHAnsi" w:hAnsiTheme="minorHAnsi"/>
          <w:iCs/>
          <w:sz w:val="28"/>
          <w:szCs w:val="28"/>
        </w:rPr>
        <w:t xml:space="preserve">the arbitration will be confidential with certain enumerated </w:t>
      </w:r>
      <w:r w:rsidR="00241C93">
        <w:rPr>
          <w:rFonts w:asciiTheme="minorHAnsi" w:hAnsiTheme="minorHAnsi"/>
          <w:iCs/>
          <w:sz w:val="28"/>
          <w:szCs w:val="28"/>
        </w:rPr>
        <w:t>exceptions. This suggests, like the ARIAS-U.S. Guide, that a panel has the authority to order confidentiality even if one party opposes it; and</w:t>
      </w:r>
    </w:p>
    <w:p w14:paraId="0BC35178" w14:textId="77777777" w:rsidR="003641D6" w:rsidRPr="005E445C" w:rsidRDefault="00241C93" w:rsidP="003641D6">
      <w:pPr>
        <w:pStyle w:val="NormalWeb"/>
        <w:numPr>
          <w:ilvl w:val="0"/>
          <w:numId w:val="4"/>
        </w:numPr>
        <w:spacing w:before="0" w:beforeAutospacing="0" w:after="0" w:afterAutospacing="0"/>
        <w:rPr>
          <w:rFonts w:asciiTheme="minorHAnsi" w:hAnsiTheme="minorHAnsi"/>
          <w:iCs/>
          <w:sz w:val="28"/>
          <w:szCs w:val="28"/>
        </w:rPr>
      </w:pPr>
      <w:r>
        <w:rPr>
          <w:rFonts w:asciiTheme="minorHAnsi" w:hAnsiTheme="minorHAnsi"/>
          <w:iCs/>
          <w:sz w:val="28"/>
          <w:szCs w:val="28"/>
        </w:rPr>
        <w:t xml:space="preserve">The AAA Commercial Rules address confidentiality at R-23, Enforcement Powers of the Arbitrator, providing the arbitrator with the authority to order the production of documents or the admissibility of evidence on condition of confidentiality. </w:t>
      </w:r>
    </w:p>
    <w:p w14:paraId="5F29094C" w14:textId="77777777" w:rsidR="00B33196" w:rsidRPr="00045194" w:rsidRDefault="00B33196" w:rsidP="0092173F">
      <w:pPr>
        <w:pStyle w:val="NormalWeb"/>
        <w:spacing w:before="0" w:beforeAutospacing="0" w:after="0" w:afterAutospacing="0"/>
        <w:rPr>
          <w:rFonts w:asciiTheme="minorHAnsi" w:hAnsiTheme="minorHAnsi"/>
          <w:iCs/>
          <w:sz w:val="28"/>
          <w:szCs w:val="28"/>
        </w:rPr>
      </w:pPr>
    </w:p>
    <w:p w14:paraId="4456A238" w14:textId="77777777" w:rsidR="00B33196" w:rsidRDefault="00C55330" w:rsidP="00B33196">
      <w:pPr>
        <w:pStyle w:val="NormalWeb"/>
        <w:numPr>
          <w:ilvl w:val="0"/>
          <w:numId w:val="2"/>
        </w:numPr>
        <w:spacing w:before="0" w:beforeAutospacing="0" w:after="0" w:afterAutospacing="0"/>
        <w:rPr>
          <w:rFonts w:asciiTheme="minorHAnsi" w:hAnsiTheme="minorHAnsi"/>
          <w:b/>
          <w:iCs/>
          <w:sz w:val="28"/>
          <w:szCs w:val="28"/>
        </w:rPr>
      </w:pPr>
      <w:r>
        <w:rPr>
          <w:rFonts w:asciiTheme="minorHAnsi" w:hAnsiTheme="minorHAnsi"/>
          <w:b/>
          <w:iCs/>
          <w:sz w:val="28"/>
          <w:szCs w:val="28"/>
        </w:rPr>
        <w:t>Supreme Court Prece</w:t>
      </w:r>
      <w:r w:rsidR="00AF607F">
        <w:rPr>
          <w:rFonts w:asciiTheme="minorHAnsi" w:hAnsiTheme="minorHAnsi"/>
          <w:b/>
          <w:iCs/>
          <w:sz w:val="28"/>
          <w:szCs w:val="28"/>
        </w:rPr>
        <w:t>de</w:t>
      </w:r>
      <w:r>
        <w:rPr>
          <w:rFonts w:asciiTheme="minorHAnsi" w:hAnsiTheme="minorHAnsi"/>
          <w:b/>
          <w:iCs/>
          <w:sz w:val="28"/>
          <w:szCs w:val="28"/>
        </w:rPr>
        <w:t>nt</w:t>
      </w:r>
    </w:p>
    <w:p w14:paraId="24F19EE5" w14:textId="77777777" w:rsidR="00B212DE" w:rsidRDefault="00B212DE" w:rsidP="00B212DE">
      <w:pPr>
        <w:pStyle w:val="NormalWeb"/>
        <w:spacing w:before="0" w:beforeAutospacing="0" w:after="0" w:afterAutospacing="0"/>
        <w:ind w:left="1080"/>
        <w:rPr>
          <w:rFonts w:asciiTheme="minorHAnsi" w:hAnsiTheme="minorHAnsi"/>
          <w:b/>
          <w:iCs/>
          <w:sz w:val="28"/>
          <w:szCs w:val="28"/>
        </w:rPr>
      </w:pPr>
    </w:p>
    <w:p w14:paraId="4A9A109D" w14:textId="1033F708" w:rsidR="00D072DD" w:rsidRPr="00B33196" w:rsidRDefault="004B2192" w:rsidP="00B33196">
      <w:pPr>
        <w:pStyle w:val="NormalWeb"/>
        <w:spacing w:before="0" w:beforeAutospacing="0" w:after="0" w:afterAutospacing="0"/>
        <w:rPr>
          <w:rFonts w:asciiTheme="minorHAnsi" w:hAnsiTheme="minorHAnsi"/>
          <w:b/>
          <w:iCs/>
          <w:sz w:val="28"/>
          <w:szCs w:val="28"/>
        </w:rPr>
      </w:pPr>
      <w:r w:rsidRPr="00B33196">
        <w:rPr>
          <w:rFonts w:asciiTheme="minorHAnsi" w:hAnsiTheme="minorHAnsi"/>
          <w:iCs/>
          <w:sz w:val="28"/>
          <w:szCs w:val="28"/>
        </w:rPr>
        <w:t>Two cases which help to establish</w:t>
      </w:r>
      <w:r w:rsidR="00D072DD" w:rsidRPr="00B33196">
        <w:rPr>
          <w:rFonts w:asciiTheme="minorHAnsi" w:hAnsiTheme="minorHAnsi"/>
          <w:iCs/>
          <w:sz w:val="28"/>
          <w:szCs w:val="28"/>
        </w:rPr>
        <w:t xml:space="preserve"> the </w:t>
      </w:r>
      <w:r w:rsidR="00C55330" w:rsidRPr="00B33196">
        <w:rPr>
          <w:rFonts w:asciiTheme="minorHAnsi" w:hAnsiTheme="minorHAnsi"/>
          <w:iCs/>
          <w:sz w:val="28"/>
          <w:szCs w:val="28"/>
        </w:rPr>
        <w:t xml:space="preserve">precedential backdrop are </w:t>
      </w:r>
      <w:proofErr w:type="spellStart"/>
      <w:r w:rsidR="00C55330" w:rsidRPr="00B33196">
        <w:rPr>
          <w:rFonts w:asciiTheme="minorHAnsi" w:hAnsiTheme="minorHAnsi"/>
          <w:i/>
          <w:iCs/>
          <w:sz w:val="28"/>
          <w:szCs w:val="28"/>
        </w:rPr>
        <w:t>Howsam</w:t>
      </w:r>
      <w:proofErr w:type="spellEnd"/>
      <w:r w:rsidR="00C55330" w:rsidRPr="00B33196">
        <w:rPr>
          <w:rFonts w:asciiTheme="minorHAnsi" w:hAnsiTheme="minorHAnsi"/>
          <w:i/>
          <w:iCs/>
          <w:sz w:val="28"/>
          <w:szCs w:val="28"/>
        </w:rPr>
        <w:t xml:space="preserve"> v. Dean Witter Reynolds, </w:t>
      </w:r>
      <w:r w:rsidR="00C55330" w:rsidRPr="00B33196">
        <w:rPr>
          <w:rFonts w:asciiTheme="minorHAnsi" w:hAnsiTheme="minorHAnsi"/>
          <w:iCs/>
          <w:sz w:val="28"/>
          <w:szCs w:val="28"/>
        </w:rPr>
        <w:t xml:space="preserve">537 U.S. 79 (2002) and </w:t>
      </w:r>
      <w:r w:rsidR="00C55330" w:rsidRPr="00B33196">
        <w:rPr>
          <w:rFonts w:asciiTheme="minorHAnsi" w:hAnsiTheme="minorHAnsi"/>
          <w:i/>
          <w:iCs/>
          <w:sz w:val="28"/>
          <w:szCs w:val="28"/>
        </w:rPr>
        <w:t xml:space="preserve">Green Tree Fin. </w:t>
      </w:r>
      <w:proofErr w:type="gramStart"/>
      <w:r w:rsidR="00C55330" w:rsidRPr="00B33196">
        <w:rPr>
          <w:rFonts w:asciiTheme="minorHAnsi" w:hAnsiTheme="minorHAnsi"/>
          <w:i/>
          <w:iCs/>
          <w:sz w:val="28"/>
          <w:szCs w:val="28"/>
        </w:rPr>
        <w:t xml:space="preserve">Corp. v. </w:t>
      </w:r>
      <w:proofErr w:type="spellStart"/>
      <w:r w:rsidR="00C55330" w:rsidRPr="00B33196">
        <w:rPr>
          <w:rFonts w:asciiTheme="minorHAnsi" w:hAnsiTheme="minorHAnsi"/>
          <w:i/>
          <w:iCs/>
          <w:sz w:val="28"/>
          <w:szCs w:val="28"/>
        </w:rPr>
        <w:t>Bazzle</w:t>
      </w:r>
      <w:proofErr w:type="spellEnd"/>
      <w:r w:rsidR="00C55330" w:rsidRPr="00B33196">
        <w:rPr>
          <w:rFonts w:asciiTheme="minorHAnsi" w:hAnsiTheme="minorHAnsi"/>
          <w:i/>
          <w:iCs/>
          <w:sz w:val="28"/>
          <w:szCs w:val="28"/>
        </w:rPr>
        <w:t>,</w:t>
      </w:r>
      <w:r w:rsidR="00EE0023" w:rsidRPr="00B33196">
        <w:rPr>
          <w:rFonts w:asciiTheme="minorHAnsi" w:hAnsiTheme="minorHAnsi"/>
          <w:iCs/>
          <w:sz w:val="28"/>
          <w:szCs w:val="28"/>
        </w:rPr>
        <w:t xml:space="preserve"> 539 U.S. 444 </w:t>
      </w:r>
      <w:r w:rsidR="00C55330" w:rsidRPr="00B33196">
        <w:rPr>
          <w:rFonts w:asciiTheme="minorHAnsi" w:hAnsiTheme="minorHAnsi"/>
          <w:iCs/>
          <w:sz w:val="28"/>
          <w:szCs w:val="28"/>
        </w:rPr>
        <w:t>(2003).</w:t>
      </w:r>
      <w:proofErr w:type="gramEnd"/>
      <w:r w:rsidR="00C55330" w:rsidRPr="00B33196">
        <w:rPr>
          <w:rFonts w:asciiTheme="minorHAnsi" w:hAnsiTheme="minorHAnsi"/>
          <w:iCs/>
          <w:sz w:val="28"/>
          <w:szCs w:val="28"/>
        </w:rPr>
        <w:t xml:space="preserve"> </w:t>
      </w:r>
      <w:r w:rsidR="00F82684" w:rsidRPr="00B33196">
        <w:rPr>
          <w:rFonts w:asciiTheme="minorHAnsi" w:hAnsiTheme="minorHAnsi"/>
          <w:iCs/>
          <w:sz w:val="28"/>
          <w:szCs w:val="28"/>
        </w:rPr>
        <w:t xml:space="preserve"> These cases </w:t>
      </w:r>
      <w:r w:rsidR="005E445C">
        <w:rPr>
          <w:rFonts w:asciiTheme="minorHAnsi" w:hAnsiTheme="minorHAnsi"/>
          <w:iCs/>
          <w:sz w:val="28"/>
          <w:szCs w:val="28"/>
        </w:rPr>
        <w:t xml:space="preserve">addressed the issue of which </w:t>
      </w:r>
      <w:proofErr w:type="gramStart"/>
      <w:r w:rsidR="005E445C">
        <w:rPr>
          <w:rFonts w:asciiTheme="minorHAnsi" w:hAnsiTheme="minorHAnsi"/>
          <w:iCs/>
          <w:sz w:val="28"/>
          <w:szCs w:val="28"/>
        </w:rPr>
        <w:t xml:space="preserve">matters </w:t>
      </w:r>
      <w:r w:rsidR="00F82684" w:rsidRPr="00B33196">
        <w:rPr>
          <w:rFonts w:asciiTheme="minorHAnsi" w:hAnsiTheme="minorHAnsi"/>
          <w:iCs/>
          <w:sz w:val="28"/>
          <w:szCs w:val="28"/>
        </w:rPr>
        <w:t>should be handled by the courts rather than an arbitration panel</w:t>
      </w:r>
      <w:proofErr w:type="gramEnd"/>
      <w:r w:rsidR="00F82684" w:rsidRPr="00B33196">
        <w:rPr>
          <w:rFonts w:asciiTheme="minorHAnsi" w:hAnsiTheme="minorHAnsi"/>
          <w:iCs/>
          <w:sz w:val="28"/>
          <w:szCs w:val="28"/>
        </w:rPr>
        <w:t xml:space="preserve">. </w:t>
      </w:r>
      <w:r w:rsidR="00EE0023" w:rsidRPr="00B33196">
        <w:rPr>
          <w:rFonts w:asciiTheme="minorHAnsi" w:hAnsiTheme="minorHAnsi"/>
          <w:iCs/>
          <w:sz w:val="28"/>
          <w:szCs w:val="28"/>
        </w:rPr>
        <w:t xml:space="preserve">  </w:t>
      </w:r>
      <w:r w:rsidR="00395FB4" w:rsidRPr="00B33196">
        <w:rPr>
          <w:rFonts w:asciiTheme="minorHAnsi" w:hAnsiTheme="minorHAnsi"/>
          <w:iCs/>
          <w:sz w:val="28"/>
          <w:szCs w:val="28"/>
        </w:rPr>
        <w:t xml:space="preserve">The issue in </w:t>
      </w:r>
      <w:proofErr w:type="spellStart"/>
      <w:r w:rsidR="00395FB4" w:rsidRPr="00B33196">
        <w:rPr>
          <w:rFonts w:asciiTheme="minorHAnsi" w:hAnsiTheme="minorHAnsi"/>
          <w:i/>
          <w:iCs/>
          <w:sz w:val="28"/>
          <w:szCs w:val="28"/>
        </w:rPr>
        <w:t>Howsam</w:t>
      </w:r>
      <w:proofErr w:type="spellEnd"/>
      <w:r w:rsidR="00395FB4" w:rsidRPr="00B33196">
        <w:rPr>
          <w:rFonts w:asciiTheme="minorHAnsi" w:hAnsiTheme="minorHAnsi"/>
          <w:iCs/>
          <w:sz w:val="28"/>
          <w:szCs w:val="28"/>
        </w:rPr>
        <w:t xml:space="preserve"> was the interpretation of a </w:t>
      </w:r>
      <w:r w:rsidR="007436C7" w:rsidRPr="00B33196">
        <w:rPr>
          <w:rFonts w:asciiTheme="minorHAnsi" w:hAnsiTheme="minorHAnsi"/>
          <w:iCs/>
          <w:sz w:val="28"/>
          <w:szCs w:val="28"/>
        </w:rPr>
        <w:t>six-year</w:t>
      </w:r>
      <w:r w:rsidR="004D6986">
        <w:rPr>
          <w:rFonts w:asciiTheme="minorHAnsi" w:hAnsiTheme="minorHAnsi"/>
          <w:iCs/>
          <w:sz w:val="28"/>
          <w:szCs w:val="28"/>
        </w:rPr>
        <w:t xml:space="preserve"> time limit for bringing </w:t>
      </w:r>
      <w:proofErr w:type="gramStart"/>
      <w:r w:rsidR="004D6986">
        <w:rPr>
          <w:rFonts w:asciiTheme="minorHAnsi" w:hAnsiTheme="minorHAnsi"/>
          <w:iCs/>
          <w:sz w:val="28"/>
          <w:szCs w:val="28"/>
        </w:rPr>
        <w:t>a</w:t>
      </w:r>
      <w:r w:rsidR="00395FB4" w:rsidRPr="00B33196">
        <w:rPr>
          <w:rFonts w:asciiTheme="minorHAnsi" w:hAnsiTheme="minorHAnsi"/>
          <w:iCs/>
          <w:sz w:val="28"/>
          <w:szCs w:val="28"/>
        </w:rPr>
        <w:t xml:space="preserve"> NASD</w:t>
      </w:r>
      <w:proofErr w:type="gramEnd"/>
      <w:r w:rsidR="00395FB4" w:rsidRPr="00B33196">
        <w:rPr>
          <w:rFonts w:asciiTheme="minorHAnsi" w:hAnsiTheme="minorHAnsi"/>
          <w:iCs/>
          <w:sz w:val="28"/>
          <w:szCs w:val="28"/>
        </w:rPr>
        <w:t xml:space="preserve"> arbitration.</w:t>
      </w:r>
      <w:r w:rsidR="00ED69D3" w:rsidRPr="00B33196">
        <w:rPr>
          <w:rFonts w:asciiTheme="minorHAnsi" w:hAnsiTheme="minorHAnsi"/>
          <w:iCs/>
          <w:sz w:val="28"/>
          <w:szCs w:val="28"/>
        </w:rPr>
        <w:t xml:space="preserve">  </w:t>
      </w:r>
      <w:r w:rsidR="00EE0023" w:rsidRPr="00B33196">
        <w:rPr>
          <w:rFonts w:asciiTheme="minorHAnsi" w:hAnsiTheme="minorHAnsi"/>
          <w:iCs/>
          <w:sz w:val="28"/>
          <w:szCs w:val="28"/>
        </w:rPr>
        <w:t xml:space="preserve">The issue in </w:t>
      </w:r>
      <w:r w:rsidR="00EE0023" w:rsidRPr="00B33196">
        <w:rPr>
          <w:rFonts w:asciiTheme="minorHAnsi" w:hAnsiTheme="minorHAnsi"/>
          <w:i/>
          <w:iCs/>
          <w:sz w:val="28"/>
          <w:szCs w:val="28"/>
        </w:rPr>
        <w:t>Green Tree</w:t>
      </w:r>
      <w:r w:rsidR="00EE0023" w:rsidRPr="00B33196">
        <w:rPr>
          <w:rFonts w:asciiTheme="minorHAnsi" w:hAnsiTheme="minorHAnsi"/>
          <w:iCs/>
          <w:sz w:val="28"/>
          <w:szCs w:val="28"/>
        </w:rPr>
        <w:t xml:space="preserve"> was whether an arbitration provision could be interpreted to allow class action arbitrations. </w:t>
      </w:r>
    </w:p>
    <w:p w14:paraId="137C41D0" w14:textId="77777777" w:rsidR="00F5636A" w:rsidRDefault="00F5636A" w:rsidP="00B33196">
      <w:pPr>
        <w:pStyle w:val="NormalWeb"/>
        <w:ind w:left="90"/>
        <w:rPr>
          <w:rFonts w:asciiTheme="minorHAnsi" w:hAnsiTheme="minorHAnsi"/>
          <w:iCs/>
          <w:sz w:val="28"/>
          <w:szCs w:val="28"/>
        </w:rPr>
      </w:pPr>
      <w:r>
        <w:rPr>
          <w:rFonts w:asciiTheme="minorHAnsi" w:hAnsiTheme="minorHAnsi"/>
          <w:iCs/>
          <w:sz w:val="28"/>
          <w:szCs w:val="28"/>
        </w:rPr>
        <w:lastRenderedPageBreak/>
        <w:t>The Supreme Court found that the validity of the arbitration clause, and its application to the dispute in question was for a court to decide while the interpretation of the arbitration clause was for the</w:t>
      </w:r>
      <w:r w:rsidR="005A797D">
        <w:rPr>
          <w:rFonts w:asciiTheme="minorHAnsi" w:hAnsiTheme="minorHAnsi"/>
          <w:iCs/>
          <w:sz w:val="28"/>
          <w:szCs w:val="28"/>
        </w:rPr>
        <w:t xml:space="preserve"> arbitration panel.   T</w:t>
      </w:r>
      <w:r>
        <w:rPr>
          <w:rFonts w:asciiTheme="minorHAnsi" w:hAnsiTheme="minorHAnsi"/>
          <w:iCs/>
          <w:sz w:val="28"/>
          <w:szCs w:val="28"/>
        </w:rPr>
        <w:t xml:space="preserve">he </w:t>
      </w:r>
      <w:proofErr w:type="spellStart"/>
      <w:r w:rsidR="005A797D">
        <w:rPr>
          <w:rFonts w:asciiTheme="minorHAnsi" w:hAnsiTheme="minorHAnsi"/>
          <w:iCs/>
          <w:sz w:val="28"/>
          <w:szCs w:val="28"/>
        </w:rPr>
        <w:t>Howsam</w:t>
      </w:r>
      <w:proofErr w:type="spellEnd"/>
      <w:r w:rsidR="005A797D">
        <w:rPr>
          <w:rFonts w:asciiTheme="minorHAnsi" w:hAnsiTheme="minorHAnsi"/>
          <w:iCs/>
          <w:sz w:val="28"/>
          <w:szCs w:val="28"/>
        </w:rPr>
        <w:t xml:space="preserve"> </w:t>
      </w:r>
      <w:proofErr w:type="gramStart"/>
      <w:r>
        <w:rPr>
          <w:rFonts w:asciiTheme="minorHAnsi" w:hAnsiTheme="minorHAnsi"/>
          <w:iCs/>
          <w:sz w:val="28"/>
          <w:szCs w:val="28"/>
        </w:rPr>
        <w:t xml:space="preserve">court </w:t>
      </w:r>
      <w:r w:rsidR="002B5C49">
        <w:rPr>
          <w:rFonts w:asciiTheme="minorHAnsi" w:hAnsiTheme="minorHAnsi"/>
          <w:iCs/>
          <w:sz w:val="28"/>
          <w:szCs w:val="28"/>
        </w:rPr>
        <w:t xml:space="preserve"> observed</w:t>
      </w:r>
      <w:proofErr w:type="gramEnd"/>
      <w:r w:rsidR="002B5C49">
        <w:rPr>
          <w:rFonts w:asciiTheme="minorHAnsi" w:hAnsiTheme="minorHAnsi"/>
          <w:iCs/>
          <w:sz w:val="28"/>
          <w:szCs w:val="28"/>
        </w:rPr>
        <w:t>:</w:t>
      </w:r>
    </w:p>
    <w:p w14:paraId="20F575D2" w14:textId="77777777" w:rsidR="005A797D" w:rsidRDefault="005A797D" w:rsidP="002B5C49">
      <w:pPr>
        <w:pStyle w:val="NormalWeb"/>
        <w:ind w:left="1350" w:right="1440"/>
        <w:rPr>
          <w:rFonts w:asciiTheme="minorHAnsi" w:hAnsiTheme="minorHAnsi"/>
          <w:iCs/>
          <w:sz w:val="28"/>
          <w:szCs w:val="28"/>
        </w:rPr>
      </w:pPr>
      <w:r>
        <w:rPr>
          <w:rFonts w:asciiTheme="minorHAnsi" w:hAnsiTheme="minorHAnsi"/>
          <w:iCs/>
          <w:sz w:val="28"/>
          <w:szCs w:val="28"/>
        </w:rPr>
        <w:t xml:space="preserve">Thus, a gateway dispute about whether the parties are bound by a given arbitration clause raises “a question of Arbitrability” for a court to decide. </w:t>
      </w:r>
    </w:p>
    <w:p w14:paraId="03B5C80B" w14:textId="77777777" w:rsidR="005A797D" w:rsidRDefault="005A797D" w:rsidP="002B5C49">
      <w:pPr>
        <w:pStyle w:val="NormalWeb"/>
        <w:ind w:left="1350" w:right="1440"/>
        <w:rPr>
          <w:rFonts w:asciiTheme="minorHAnsi" w:hAnsiTheme="minorHAnsi"/>
          <w:iCs/>
          <w:sz w:val="28"/>
          <w:szCs w:val="28"/>
        </w:rPr>
      </w:pPr>
      <w:proofErr w:type="gramStart"/>
      <w:r>
        <w:rPr>
          <w:rFonts w:asciiTheme="minorHAnsi" w:hAnsiTheme="minorHAnsi"/>
          <w:iCs/>
          <w:sz w:val="28"/>
          <w:szCs w:val="28"/>
        </w:rPr>
        <w:t>. .</w:t>
      </w:r>
      <w:proofErr w:type="gramEnd"/>
      <w:r>
        <w:rPr>
          <w:rFonts w:asciiTheme="minorHAnsi" w:hAnsiTheme="minorHAnsi"/>
          <w:iCs/>
          <w:sz w:val="28"/>
          <w:szCs w:val="28"/>
        </w:rPr>
        <w:t xml:space="preserve"> . </w:t>
      </w:r>
    </w:p>
    <w:p w14:paraId="6FC7FDCC" w14:textId="77777777" w:rsidR="002B5C49" w:rsidRDefault="005A797D" w:rsidP="002B5C49">
      <w:pPr>
        <w:pStyle w:val="NormalWeb"/>
        <w:ind w:left="1350" w:right="1440"/>
        <w:rPr>
          <w:rFonts w:asciiTheme="minorHAnsi" w:hAnsiTheme="minorHAnsi"/>
          <w:iCs/>
          <w:sz w:val="28"/>
          <w:szCs w:val="28"/>
        </w:rPr>
        <w:sectPr w:rsidR="002B5C49" w:rsidSect="00C95B6C">
          <w:endnotePr>
            <w:numFmt w:val="decimal"/>
          </w:endnotePr>
          <w:pgSz w:w="12240" w:h="15840"/>
          <w:pgMar w:top="1440" w:right="1440" w:bottom="1440" w:left="1440" w:header="720" w:footer="720" w:gutter="0"/>
          <w:cols w:space="720"/>
          <w:docGrid w:linePitch="360"/>
        </w:sectPr>
      </w:pPr>
      <w:r>
        <w:rPr>
          <w:rFonts w:asciiTheme="minorHAnsi" w:hAnsiTheme="minorHAnsi"/>
          <w:iCs/>
          <w:sz w:val="28"/>
          <w:szCs w:val="28"/>
        </w:rPr>
        <w:t xml:space="preserve">At the same time the Court has found the phrase “question of Arbitrability” </w:t>
      </w:r>
      <w:r>
        <w:rPr>
          <w:rFonts w:asciiTheme="minorHAnsi" w:hAnsiTheme="minorHAnsi"/>
          <w:i/>
          <w:iCs/>
          <w:sz w:val="28"/>
          <w:szCs w:val="28"/>
        </w:rPr>
        <w:t>not</w:t>
      </w:r>
      <w:r>
        <w:rPr>
          <w:rFonts w:asciiTheme="minorHAnsi" w:hAnsiTheme="minorHAnsi"/>
          <w:iCs/>
          <w:sz w:val="28"/>
          <w:szCs w:val="28"/>
        </w:rPr>
        <w:t xml:space="preserve"> applicable to</w:t>
      </w:r>
      <w:r w:rsidR="002B5C49">
        <w:rPr>
          <w:rFonts w:asciiTheme="minorHAnsi" w:hAnsiTheme="minorHAnsi"/>
          <w:iCs/>
          <w:sz w:val="28"/>
          <w:szCs w:val="28"/>
        </w:rPr>
        <w:t xml:space="preserve"> other kinds of general circumstances where parties would likely expect that an arbitrator would decide the gateway matter.  Thus “procedural questions which grow out of the dispute and bear on it final disposition” are presumptively </w:t>
      </w:r>
      <w:r w:rsidR="002B5C49">
        <w:rPr>
          <w:rFonts w:asciiTheme="minorHAnsi" w:hAnsiTheme="minorHAnsi"/>
          <w:i/>
          <w:iCs/>
          <w:sz w:val="28"/>
          <w:szCs w:val="28"/>
        </w:rPr>
        <w:t>not</w:t>
      </w:r>
      <w:r w:rsidR="002B5C49">
        <w:rPr>
          <w:rFonts w:asciiTheme="minorHAnsi" w:hAnsiTheme="minorHAnsi"/>
          <w:iCs/>
          <w:sz w:val="28"/>
          <w:szCs w:val="28"/>
        </w:rPr>
        <w:t xml:space="preserve"> for the judge, but for an arbitrator to decide.”</w:t>
      </w:r>
      <w:r w:rsidR="002B5C49">
        <w:rPr>
          <w:rStyle w:val="EndnoteReference"/>
          <w:rFonts w:asciiTheme="minorHAnsi" w:hAnsiTheme="minorHAnsi"/>
          <w:iCs/>
          <w:sz w:val="28"/>
          <w:szCs w:val="28"/>
        </w:rPr>
        <w:endnoteReference w:id="1"/>
      </w:r>
    </w:p>
    <w:p w14:paraId="666076F7" w14:textId="763B6096" w:rsidR="002B5C49" w:rsidRDefault="00602B8A" w:rsidP="00602B8A">
      <w:pPr>
        <w:pStyle w:val="NormalWeb"/>
        <w:rPr>
          <w:rFonts w:asciiTheme="minorHAnsi" w:hAnsiTheme="minorHAnsi"/>
          <w:iCs/>
          <w:sz w:val="28"/>
          <w:szCs w:val="28"/>
        </w:rPr>
      </w:pPr>
      <w:r>
        <w:rPr>
          <w:rFonts w:asciiTheme="minorHAnsi" w:hAnsiTheme="minorHAnsi"/>
          <w:iCs/>
          <w:sz w:val="28"/>
          <w:szCs w:val="28"/>
        </w:rPr>
        <w:lastRenderedPageBreak/>
        <w:t xml:space="preserve">Thus, the </w:t>
      </w:r>
      <w:proofErr w:type="spellStart"/>
      <w:r>
        <w:rPr>
          <w:rFonts w:asciiTheme="minorHAnsi" w:hAnsiTheme="minorHAnsi"/>
          <w:i/>
          <w:iCs/>
          <w:sz w:val="28"/>
          <w:szCs w:val="28"/>
        </w:rPr>
        <w:t>Howsam</w:t>
      </w:r>
      <w:proofErr w:type="spellEnd"/>
      <w:r>
        <w:rPr>
          <w:rFonts w:asciiTheme="minorHAnsi" w:hAnsiTheme="minorHAnsi"/>
          <w:iCs/>
          <w:sz w:val="28"/>
          <w:szCs w:val="28"/>
        </w:rPr>
        <w:t xml:space="preserve"> court found that the NAS</w:t>
      </w:r>
      <w:r w:rsidR="005033A3">
        <w:rPr>
          <w:rFonts w:asciiTheme="minorHAnsi" w:hAnsiTheme="minorHAnsi"/>
          <w:iCs/>
          <w:sz w:val="28"/>
          <w:szCs w:val="28"/>
        </w:rPr>
        <w:t xml:space="preserve">D arbitrators should interpret </w:t>
      </w:r>
      <w:r>
        <w:rPr>
          <w:rFonts w:asciiTheme="minorHAnsi" w:hAnsiTheme="minorHAnsi"/>
          <w:iCs/>
          <w:sz w:val="28"/>
          <w:szCs w:val="28"/>
        </w:rPr>
        <w:t>and a</w:t>
      </w:r>
      <w:r w:rsidR="004D508E">
        <w:rPr>
          <w:rFonts w:asciiTheme="minorHAnsi" w:hAnsiTheme="minorHAnsi"/>
          <w:iCs/>
          <w:sz w:val="28"/>
          <w:szCs w:val="28"/>
        </w:rPr>
        <w:t>pply the time limit on initiating</w:t>
      </w:r>
      <w:r w:rsidR="00D221F8">
        <w:rPr>
          <w:rFonts w:asciiTheme="minorHAnsi" w:hAnsiTheme="minorHAnsi"/>
          <w:iCs/>
          <w:sz w:val="28"/>
          <w:szCs w:val="28"/>
        </w:rPr>
        <w:t xml:space="preserve"> </w:t>
      </w:r>
      <w:proofErr w:type="gramStart"/>
      <w:r w:rsidR="00D221F8">
        <w:rPr>
          <w:rFonts w:asciiTheme="minorHAnsi" w:hAnsiTheme="minorHAnsi"/>
          <w:iCs/>
          <w:sz w:val="28"/>
          <w:szCs w:val="28"/>
        </w:rPr>
        <w:t>a</w:t>
      </w:r>
      <w:r>
        <w:rPr>
          <w:rFonts w:asciiTheme="minorHAnsi" w:hAnsiTheme="minorHAnsi"/>
          <w:iCs/>
          <w:sz w:val="28"/>
          <w:szCs w:val="28"/>
        </w:rPr>
        <w:t xml:space="preserve"> NASD</w:t>
      </w:r>
      <w:proofErr w:type="gramEnd"/>
      <w:r>
        <w:rPr>
          <w:rFonts w:asciiTheme="minorHAnsi" w:hAnsiTheme="minorHAnsi"/>
          <w:iCs/>
          <w:sz w:val="28"/>
          <w:szCs w:val="28"/>
        </w:rPr>
        <w:t xml:space="preserve"> arbitration.</w:t>
      </w:r>
      <w:r w:rsidR="0008054B">
        <w:rPr>
          <w:rStyle w:val="EndnoteReference"/>
          <w:rFonts w:asciiTheme="minorHAnsi" w:hAnsiTheme="minorHAnsi"/>
          <w:iCs/>
          <w:sz w:val="28"/>
          <w:szCs w:val="28"/>
        </w:rPr>
        <w:endnoteReference w:id="2"/>
      </w:r>
    </w:p>
    <w:p w14:paraId="1DC0C550" w14:textId="77777777" w:rsidR="000966BE" w:rsidRDefault="000966BE" w:rsidP="00602B8A">
      <w:pPr>
        <w:pStyle w:val="NormalWeb"/>
        <w:rPr>
          <w:rFonts w:asciiTheme="minorHAnsi" w:hAnsiTheme="minorHAnsi"/>
          <w:iCs/>
          <w:sz w:val="28"/>
          <w:szCs w:val="28"/>
        </w:rPr>
      </w:pPr>
      <w:r>
        <w:rPr>
          <w:rFonts w:asciiTheme="minorHAnsi" w:hAnsiTheme="minorHAnsi"/>
          <w:iCs/>
          <w:sz w:val="28"/>
          <w:szCs w:val="28"/>
        </w:rPr>
        <w:t xml:space="preserve">The </w:t>
      </w:r>
      <w:r>
        <w:rPr>
          <w:rFonts w:asciiTheme="minorHAnsi" w:hAnsiTheme="minorHAnsi"/>
          <w:i/>
          <w:iCs/>
          <w:sz w:val="28"/>
          <w:szCs w:val="28"/>
        </w:rPr>
        <w:t xml:space="preserve">Green Tree </w:t>
      </w:r>
      <w:r>
        <w:rPr>
          <w:rFonts w:asciiTheme="minorHAnsi" w:hAnsiTheme="minorHAnsi"/>
          <w:iCs/>
          <w:sz w:val="28"/>
          <w:szCs w:val="28"/>
        </w:rPr>
        <w:t>court stated:</w:t>
      </w:r>
    </w:p>
    <w:p w14:paraId="075E50E7" w14:textId="77777777" w:rsidR="006760DA" w:rsidRDefault="006760DA" w:rsidP="00772582">
      <w:pPr>
        <w:pStyle w:val="NormalWeb"/>
        <w:ind w:left="1350" w:right="1350"/>
        <w:rPr>
          <w:rFonts w:asciiTheme="minorHAnsi" w:hAnsiTheme="minorHAnsi"/>
          <w:iCs/>
          <w:sz w:val="28"/>
          <w:szCs w:val="28"/>
        </w:rPr>
      </w:pPr>
      <w:r>
        <w:rPr>
          <w:rFonts w:asciiTheme="minorHAnsi" w:hAnsiTheme="minorHAnsi"/>
          <w:iCs/>
          <w:sz w:val="28"/>
          <w:szCs w:val="28"/>
        </w:rPr>
        <w:t>[The issue for the courts] include certain gateway matters, such as whether the parties have a valid arbitration agreement at all or whether a concededly</w:t>
      </w:r>
      <w:r w:rsidR="00772582">
        <w:rPr>
          <w:rFonts w:asciiTheme="minorHAnsi" w:hAnsiTheme="minorHAnsi"/>
          <w:iCs/>
          <w:sz w:val="28"/>
          <w:szCs w:val="28"/>
        </w:rPr>
        <w:t xml:space="preserve"> binding</w:t>
      </w:r>
      <w:r>
        <w:rPr>
          <w:rFonts w:asciiTheme="minorHAnsi" w:hAnsiTheme="minorHAnsi"/>
          <w:iCs/>
          <w:sz w:val="28"/>
          <w:szCs w:val="28"/>
        </w:rPr>
        <w:t xml:space="preserve"> arbitration clause applies to a certain type of controversy</w:t>
      </w:r>
      <w:proofErr w:type="gramStart"/>
      <w:r>
        <w:rPr>
          <w:rFonts w:asciiTheme="minorHAnsi" w:hAnsiTheme="minorHAnsi"/>
          <w:iCs/>
          <w:sz w:val="28"/>
          <w:szCs w:val="28"/>
        </w:rPr>
        <w:t>.. . .</w:t>
      </w:r>
      <w:proofErr w:type="gramEnd"/>
      <w:r>
        <w:rPr>
          <w:rFonts w:asciiTheme="minorHAnsi" w:hAnsiTheme="minorHAnsi"/>
          <w:iCs/>
          <w:sz w:val="28"/>
          <w:szCs w:val="28"/>
        </w:rPr>
        <w:t xml:space="preserve"> </w:t>
      </w:r>
    </w:p>
    <w:p w14:paraId="4852624B" w14:textId="77777777" w:rsidR="000966BE" w:rsidRPr="000966BE" w:rsidRDefault="006760DA" w:rsidP="000D6ED3">
      <w:pPr>
        <w:pStyle w:val="NormalWeb"/>
        <w:ind w:left="1350" w:right="1350"/>
        <w:rPr>
          <w:rFonts w:asciiTheme="minorHAnsi" w:hAnsiTheme="minorHAnsi"/>
          <w:iCs/>
          <w:sz w:val="28"/>
          <w:szCs w:val="28"/>
        </w:rPr>
      </w:pPr>
      <w:r>
        <w:rPr>
          <w:rFonts w:asciiTheme="minorHAnsi" w:hAnsiTheme="minorHAnsi"/>
          <w:iCs/>
          <w:sz w:val="28"/>
          <w:szCs w:val="28"/>
        </w:rPr>
        <w:t xml:space="preserve">The question here – whether the contracts forbid class action arbitration - - does not fall within [such matters]. It concerns neither the validity of the arbitration clause nor its applicability to the underlying dispute between the </w:t>
      </w:r>
      <w:proofErr w:type="gramStart"/>
      <w:r>
        <w:rPr>
          <w:rFonts w:asciiTheme="minorHAnsi" w:hAnsiTheme="minorHAnsi"/>
          <w:iCs/>
          <w:sz w:val="28"/>
          <w:szCs w:val="28"/>
        </w:rPr>
        <w:t>parties.</w:t>
      </w:r>
      <w:proofErr w:type="gramEnd"/>
      <w:r w:rsidR="00AA1259">
        <w:rPr>
          <w:rFonts w:asciiTheme="minorHAnsi" w:hAnsiTheme="minorHAnsi"/>
          <w:iCs/>
          <w:sz w:val="28"/>
          <w:szCs w:val="28"/>
        </w:rPr>
        <w:t xml:space="preserve"> . . . It concerns </w:t>
      </w:r>
      <w:r w:rsidR="00A83D6C">
        <w:rPr>
          <w:rFonts w:asciiTheme="minorHAnsi" w:hAnsiTheme="minorHAnsi"/>
          <w:iCs/>
          <w:sz w:val="28"/>
          <w:szCs w:val="28"/>
        </w:rPr>
        <w:t xml:space="preserve">contract interpretation and arbitration procedures.  Arbitrators are well situated to answer that question. </w:t>
      </w:r>
      <w:r>
        <w:rPr>
          <w:rStyle w:val="EndnoteReference"/>
          <w:rFonts w:asciiTheme="minorHAnsi" w:hAnsiTheme="minorHAnsi"/>
          <w:iCs/>
          <w:sz w:val="28"/>
          <w:szCs w:val="28"/>
        </w:rPr>
        <w:endnoteReference w:id="3"/>
      </w:r>
    </w:p>
    <w:p w14:paraId="4E996E18" w14:textId="6469821E" w:rsidR="004011A6" w:rsidRPr="00B212DE" w:rsidRDefault="005E445C" w:rsidP="00B212DE">
      <w:pPr>
        <w:pStyle w:val="NormalWeb"/>
        <w:rPr>
          <w:rFonts w:asciiTheme="minorHAnsi" w:hAnsiTheme="minorHAnsi"/>
          <w:iCs/>
          <w:sz w:val="28"/>
          <w:szCs w:val="28"/>
        </w:rPr>
      </w:pPr>
      <w:r>
        <w:rPr>
          <w:rFonts w:asciiTheme="minorHAnsi" w:hAnsiTheme="minorHAnsi"/>
          <w:iCs/>
          <w:sz w:val="28"/>
          <w:szCs w:val="28"/>
        </w:rPr>
        <w:lastRenderedPageBreak/>
        <w:t>Based on these cases, it is clear that the questions of confidentiality and hold harmless are matters for the panel, not the courts, to decide.</w:t>
      </w:r>
    </w:p>
    <w:p w14:paraId="3F128CDD" w14:textId="77777777" w:rsidR="00E731B8" w:rsidRDefault="00E731B8" w:rsidP="00E731B8">
      <w:pPr>
        <w:pStyle w:val="NormalWeb"/>
        <w:numPr>
          <w:ilvl w:val="0"/>
          <w:numId w:val="2"/>
        </w:numPr>
        <w:rPr>
          <w:rFonts w:asciiTheme="minorHAnsi" w:hAnsiTheme="minorHAnsi"/>
          <w:b/>
          <w:iCs/>
          <w:sz w:val="28"/>
          <w:szCs w:val="28"/>
        </w:rPr>
      </w:pPr>
      <w:r>
        <w:rPr>
          <w:rFonts w:asciiTheme="minorHAnsi" w:hAnsiTheme="minorHAnsi"/>
          <w:b/>
          <w:iCs/>
          <w:sz w:val="28"/>
          <w:szCs w:val="28"/>
        </w:rPr>
        <w:t>Hold Harmless</w:t>
      </w:r>
      <w:r w:rsidR="00F45018">
        <w:rPr>
          <w:rFonts w:asciiTheme="minorHAnsi" w:hAnsiTheme="minorHAnsi"/>
          <w:b/>
          <w:iCs/>
          <w:sz w:val="28"/>
          <w:szCs w:val="28"/>
        </w:rPr>
        <w:t xml:space="preserve"> Agreements</w:t>
      </w:r>
    </w:p>
    <w:p w14:paraId="45B2CD02" w14:textId="77777777" w:rsidR="00B33196" w:rsidRDefault="00E731B8" w:rsidP="00B33196">
      <w:pPr>
        <w:pStyle w:val="NormalWeb"/>
        <w:numPr>
          <w:ilvl w:val="0"/>
          <w:numId w:val="3"/>
        </w:numPr>
        <w:spacing w:before="0" w:beforeAutospacing="0" w:after="0" w:afterAutospacing="0"/>
        <w:ind w:left="1843" w:hanging="446"/>
        <w:rPr>
          <w:rFonts w:asciiTheme="minorHAnsi" w:hAnsiTheme="minorHAnsi"/>
          <w:b/>
          <w:iCs/>
          <w:sz w:val="28"/>
          <w:szCs w:val="28"/>
        </w:rPr>
      </w:pPr>
      <w:r>
        <w:rPr>
          <w:rFonts w:asciiTheme="minorHAnsi" w:hAnsiTheme="minorHAnsi"/>
          <w:b/>
          <w:iCs/>
          <w:sz w:val="28"/>
          <w:szCs w:val="28"/>
        </w:rPr>
        <w:t>Caselaw</w:t>
      </w:r>
    </w:p>
    <w:p w14:paraId="3EB1AB50" w14:textId="77777777" w:rsidR="00B212DE" w:rsidRDefault="00B212DE" w:rsidP="00B212DE">
      <w:pPr>
        <w:pStyle w:val="NormalWeb"/>
        <w:spacing w:before="0" w:beforeAutospacing="0" w:after="0" w:afterAutospacing="0"/>
        <w:ind w:left="1843"/>
        <w:rPr>
          <w:rFonts w:asciiTheme="minorHAnsi" w:hAnsiTheme="minorHAnsi"/>
          <w:b/>
          <w:iCs/>
          <w:sz w:val="28"/>
          <w:szCs w:val="28"/>
        </w:rPr>
      </w:pPr>
    </w:p>
    <w:p w14:paraId="776F8D94" w14:textId="57109DB8" w:rsidR="00935F28" w:rsidRPr="00B33196" w:rsidRDefault="00E731B8" w:rsidP="00B33196">
      <w:pPr>
        <w:pStyle w:val="NormalWeb"/>
        <w:spacing w:before="0" w:beforeAutospacing="0" w:after="0" w:afterAutospacing="0"/>
        <w:rPr>
          <w:rFonts w:asciiTheme="minorHAnsi" w:hAnsiTheme="minorHAnsi"/>
          <w:b/>
          <w:iCs/>
          <w:sz w:val="28"/>
          <w:szCs w:val="28"/>
        </w:rPr>
      </w:pPr>
      <w:r w:rsidRPr="00B33196">
        <w:rPr>
          <w:rFonts w:asciiTheme="minorHAnsi" w:hAnsiTheme="minorHAnsi"/>
          <w:iCs/>
          <w:sz w:val="28"/>
          <w:szCs w:val="28"/>
        </w:rPr>
        <w:t xml:space="preserve">There </w:t>
      </w:r>
      <w:r w:rsidR="005E445C">
        <w:rPr>
          <w:rFonts w:asciiTheme="minorHAnsi" w:hAnsiTheme="minorHAnsi"/>
          <w:iCs/>
          <w:sz w:val="28"/>
          <w:szCs w:val="28"/>
        </w:rPr>
        <w:t xml:space="preserve">are </w:t>
      </w:r>
      <w:r w:rsidRPr="00B33196">
        <w:rPr>
          <w:rFonts w:asciiTheme="minorHAnsi" w:hAnsiTheme="minorHAnsi"/>
          <w:iCs/>
          <w:sz w:val="28"/>
          <w:szCs w:val="28"/>
        </w:rPr>
        <w:t xml:space="preserve">a few cases dealing with the authority of an arbitration panel to order the parties to provide a hold harmless.  One of those cases is </w:t>
      </w:r>
      <w:r w:rsidRPr="00B33196">
        <w:rPr>
          <w:rFonts w:asciiTheme="minorHAnsi" w:hAnsiTheme="minorHAnsi"/>
          <w:i/>
          <w:iCs/>
          <w:sz w:val="28"/>
          <w:szCs w:val="28"/>
        </w:rPr>
        <w:t xml:space="preserve">Pac. </w:t>
      </w:r>
      <w:proofErr w:type="spellStart"/>
      <w:r w:rsidRPr="00B33196">
        <w:rPr>
          <w:rFonts w:asciiTheme="minorHAnsi" w:hAnsiTheme="minorHAnsi"/>
          <w:i/>
          <w:iCs/>
          <w:sz w:val="28"/>
          <w:szCs w:val="28"/>
        </w:rPr>
        <w:t>Empirs</w:t>
      </w:r>
      <w:proofErr w:type="spellEnd"/>
      <w:r w:rsidRPr="00B33196">
        <w:rPr>
          <w:rFonts w:asciiTheme="minorHAnsi" w:hAnsiTheme="minorHAnsi"/>
          <w:i/>
          <w:iCs/>
          <w:sz w:val="28"/>
          <w:szCs w:val="28"/>
        </w:rPr>
        <w:t xml:space="preserve">. Ins. Co. v. </w:t>
      </w:r>
      <w:proofErr w:type="spellStart"/>
      <w:r w:rsidRPr="00B33196">
        <w:rPr>
          <w:rFonts w:asciiTheme="minorHAnsi" w:hAnsiTheme="minorHAnsi"/>
          <w:i/>
          <w:iCs/>
          <w:sz w:val="28"/>
          <w:szCs w:val="28"/>
        </w:rPr>
        <w:t>Moglia</w:t>
      </w:r>
      <w:proofErr w:type="spellEnd"/>
      <w:r w:rsidRPr="00B33196">
        <w:rPr>
          <w:rFonts w:asciiTheme="minorHAnsi" w:hAnsiTheme="minorHAnsi"/>
          <w:iCs/>
          <w:sz w:val="28"/>
          <w:szCs w:val="28"/>
        </w:rPr>
        <w:t>, 365 B.R. 863 (</w:t>
      </w:r>
      <w:proofErr w:type="spellStart"/>
      <w:r w:rsidRPr="00B33196">
        <w:rPr>
          <w:rFonts w:asciiTheme="minorHAnsi" w:hAnsiTheme="minorHAnsi"/>
          <w:iCs/>
          <w:sz w:val="28"/>
          <w:szCs w:val="28"/>
        </w:rPr>
        <w:t>N.D.Ill</w:t>
      </w:r>
      <w:proofErr w:type="spellEnd"/>
      <w:r w:rsidRPr="00B33196">
        <w:rPr>
          <w:rFonts w:asciiTheme="minorHAnsi" w:hAnsiTheme="minorHAnsi"/>
          <w:iCs/>
          <w:sz w:val="28"/>
          <w:szCs w:val="28"/>
        </w:rPr>
        <w:t xml:space="preserve">. 2007) which involved an arbitration </w:t>
      </w:r>
      <w:r w:rsidR="00772582">
        <w:rPr>
          <w:rFonts w:asciiTheme="minorHAnsi" w:hAnsiTheme="minorHAnsi"/>
          <w:iCs/>
          <w:sz w:val="28"/>
          <w:szCs w:val="28"/>
        </w:rPr>
        <w:t xml:space="preserve">clause </w:t>
      </w:r>
      <w:r w:rsidRPr="00B33196">
        <w:rPr>
          <w:rFonts w:asciiTheme="minorHAnsi" w:hAnsiTheme="minorHAnsi"/>
          <w:iCs/>
          <w:sz w:val="28"/>
          <w:szCs w:val="28"/>
        </w:rPr>
        <w:t xml:space="preserve">in an insurance policy.  When the insured became insolvent, its trustee sought to recover collateral from the insurer.  The bankruptcy court referred the matter to arbitration and the panel asked the parties to execute a hold harmless. </w:t>
      </w:r>
      <w:r w:rsidR="005E445C">
        <w:rPr>
          <w:rFonts w:asciiTheme="minorHAnsi" w:hAnsiTheme="minorHAnsi"/>
          <w:iCs/>
          <w:sz w:val="28"/>
          <w:szCs w:val="28"/>
        </w:rPr>
        <w:t xml:space="preserve"> The trustee declined. </w:t>
      </w:r>
      <w:r w:rsidR="00935F28" w:rsidRPr="00B33196">
        <w:rPr>
          <w:rFonts w:asciiTheme="minorHAnsi" w:hAnsiTheme="minorHAnsi"/>
          <w:iCs/>
          <w:sz w:val="28"/>
          <w:szCs w:val="28"/>
        </w:rPr>
        <w:t>The court upheld the panel’s request for a hold harmless</w:t>
      </w:r>
      <w:r w:rsidR="008365D9">
        <w:rPr>
          <w:rFonts w:asciiTheme="minorHAnsi" w:hAnsiTheme="minorHAnsi"/>
          <w:iCs/>
          <w:sz w:val="28"/>
          <w:szCs w:val="28"/>
        </w:rPr>
        <w:t xml:space="preserve"> and order</w:t>
      </w:r>
      <w:r w:rsidR="00CB7153">
        <w:rPr>
          <w:rFonts w:asciiTheme="minorHAnsi" w:hAnsiTheme="minorHAnsi"/>
          <w:iCs/>
          <w:sz w:val="28"/>
          <w:szCs w:val="28"/>
        </w:rPr>
        <w:t>ed</w:t>
      </w:r>
      <w:r w:rsidR="008365D9">
        <w:rPr>
          <w:rFonts w:asciiTheme="minorHAnsi" w:hAnsiTheme="minorHAnsi"/>
          <w:iCs/>
          <w:sz w:val="28"/>
          <w:szCs w:val="28"/>
        </w:rPr>
        <w:t xml:space="preserve"> the trustee and insurer to sign it</w:t>
      </w:r>
      <w:r w:rsidR="00935F28" w:rsidRPr="00B33196">
        <w:rPr>
          <w:rFonts w:asciiTheme="minorHAnsi" w:hAnsiTheme="minorHAnsi"/>
          <w:iCs/>
          <w:sz w:val="28"/>
          <w:szCs w:val="28"/>
        </w:rPr>
        <w:t xml:space="preserve">: </w:t>
      </w:r>
    </w:p>
    <w:p w14:paraId="0D976E64" w14:textId="77777777" w:rsidR="00935F28" w:rsidRDefault="00935F28" w:rsidP="00935F28">
      <w:pPr>
        <w:pStyle w:val="NormalWeb"/>
        <w:spacing w:before="0" w:beforeAutospacing="0" w:after="0" w:afterAutospacing="0"/>
        <w:ind w:left="1350"/>
        <w:rPr>
          <w:rFonts w:asciiTheme="minorHAnsi" w:hAnsiTheme="minorHAnsi"/>
          <w:iCs/>
          <w:sz w:val="28"/>
          <w:szCs w:val="28"/>
        </w:rPr>
      </w:pPr>
    </w:p>
    <w:p w14:paraId="05729D1E" w14:textId="77777777" w:rsidR="00E731B8" w:rsidRDefault="00935F28" w:rsidP="00935F28">
      <w:pPr>
        <w:pStyle w:val="NormalWeb"/>
        <w:spacing w:before="0" w:beforeAutospacing="0" w:after="0" w:afterAutospacing="0"/>
        <w:ind w:left="1350" w:right="1350"/>
        <w:rPr>
          <w:rFonts w:asciiTheme="minorHAnsi" w:hAnsiTheme="minorHAnsi"/>
          <w:iCs/>
          <w:sz w:val="28"/>
          <w:szCs w:val="28"/>
        </w:rPr>
      </w:pPr>
      <w:r>
        <w:rPr>
          <w:rFonts w:asciiTheme="minorHAnsi" w:hAnsiTheme="minorHAnsi"/>
          <w:iCs/>
          <w:sz w:val="28"/>
          <w:szCs w:val="28"/>
        </w:rPr>
        <w:t>“[</w:t>
      </w:r>
      <w:proofErr w:type="gramStart"/>
      <w:r>
        <w:rPr>
          <w:rFonts w:asciiTheme="minorHAnsi" w:hAnsiTheme="minorHAnsi"/>
          <w:iCs/>
          <w:sz w:val="28"/>
          <w:szCs w:val="28"/>
        </w:rPr>
        <w:t>T]he</w:t>
      </w:r>
      <w:proofErr w:type="gramEnd"/>
      <w:r>
        <w:rPr>
          <w:rFonts w:asciiTheme="minorHAnsi" w:hAnsiTheme="minorHAnsi"/>
          <w:iCs/>
          <w:sz w:val="28"/>
          <w:szCs w:val="28"/>
        </w:rPr>
        <w:t xml:space="preserve"> requested hold harmless agreement really codifies (or perhaps, more accurately, solidifies) the immunity accorded to arbitrators as a quasi-judicial body. . . .</w:t>
      </w:r>
    </w:p>
    <w:p w14:paraId="19023083" w14:textId="77777777" w:rsidR="00935F28" w:rsidRDefault="00935F28" w:rsidP="00935F28">
      <w:pPr>
        <w:pStyle w:val="NormalWeb"/>
        <w:spacing w:before="0" w:beforeAutospacing="0" w:after="0" w:afterAutospacing="0"/>
        <w:ind w:left="1440"/>
        <w:rPr>
          <w:rFonts w:asciiTheme="minorHAnsi" w:hAnsiTheme="minorHAnsi"/>
          <w:iCs/>
          <w:sz w:val="28"/>
          <w:szCs w:val="28"/>
        </w:rPr>
      </w:pPr>
      <w:proofErr w:type="gramStart"/>
      <w:r>
        <w:rPr>
          <w:rFonts w:asciiTheme="minorHAnsi" w:hAnsiTheme="minorHAnsi"/>
          <w:iCs/>
          <w:sz w:val="28"/>
          <w:szCs w:val="28"/>
        </w:rPr>
        <w:t>. .</w:t>
      </w:r>
      <w:proofErr w:type="gramEnd"/>
      <w:r>
        <w:rPr>
          <w:rFonts w:asciiTheme="minorHAnsi" w:hAnsiTheme="minorHAnsi"/>
          <w:iCs/>
          <w:sz w:val="28"/>
          <w:szCs w:val="28"/>
        </w:rPr>
        <w:t xml:space="preserve"> . .</w:t>
      </w:r>
    </w:p>
    <w:p w14:paraId="040BD64E" w14:textId="77777777" w:rsidR="00935F28" w:rsidRDefault="00935F28" w:rsidP="00B529E5">
      <w:pPr>
        <w:pStyle w:val="NormalWeb"/>
        <w:spacing w:before="0" w:beforeAutospacing="0" w:after="0" w:afterAutospacing="0"/>
        <w:ind w:left="1350" w:right="1440"/>
        <w:rPr>
          <w:rFonts w:asciiTheme="minorHAnsi" w:hAnsiTheme="minorHAnsi"/>
          <w:iCs/>
          <w:sz w:val="28"/>
          <w:szCs w:val="28"/>
        </w:rPr>
      </w:pPr>
      <w:r>
        <w:rPr>
          <w:rFonts w:asciiTheme="minorHAnsi" w:hAnsiTheme="minorHAnsi"/>
          <w:iCs/>
          <w:sz w:val="28"/>
          <w:szCs w:val="28"/>
        </w:rPr>
        <w:t>Indemnity agreements such as that requested by the Panel perform the same crucial function: They are safeguards that provide the security necessary to induce qualified individuals to serve as arbitrators.</w:t>
      </w:r>
      <w:r w:rsidR="00A7226B">
        <w:rPr>
          <w:rStyle w:val="EndnoteReference"/>
          <w:rFonts w:asciiTheme="minorHAnsi" w:hAnsiTheme="minorHAnsi"/>
          <w:iCs/>
          <w:sz w:val="28"/>
          <w:szCs w:val="28"/>
        </w:rPr>
        <w:endnoteReference w:id="4"/>
      </w:r>
    </w:p>
    <w:p w14:paraId="5529111A" w14:textId="77777777" w:rsidR="004B1E52" w:rsidRDefault="004B1E52" w:rsidP="00B529E5">
      <w:pPr>
        <w:pStyle w:val="NormalWeb"/>
        <w:spacing w:before="0" w:beforeAutospacing="0" w:after="0" w:afterAutospacing="0"/>
        <w:ind w:left="1350" w:right="1440"/>
        <w:rPr>
          <w:rFonts w:asciiTheme="minorHAnsi" w:hAnsiTheme="minorHAnsi"/>
          <w:iCs/>
          <w:sz w:val="28"/>
          <w:szCs w:val="28"/>
        </w:rPr>
      </w:pPr>
    </w:p>
    <w:p w14:paraId="2381F713" w14:textId="77777777" w:rsidR="00B529E5" w:rsidRDefault="00B529E5" w:rsidP="00B529E5">
      <w:pPr>
        <w:pStyle w:val="NormalWeb"/>
        <w:spacing w:before="0" w:beforeAutospacing="0" w:after="0" w:afterAutospacing="0"/>
        <w:ind w:left="90"/>
        <w:rPr>
          <w:rFonts w:asciiTheme="minorHAnsi" w:hAnsiTheme="minorHAnsi"/>
          <w:iCs/>
          <w:sz w:val="28"/>
          <w:szCs w:val="28"/>
        </w:rPr>
      </w:pPr>
      <w:proofErr w:type="spellStart"/>
      <w:r>
        <w:rPr>
          <w:rFonts w:asciiTheme="minorHAnsi" w:hAnsiTheme="minorHAnsi"/>
          <w:i/>
          <w:iCs/>
          <w:sz w:val="28"/>
          <w:szCs w:val="28"/>
        </w:rPr>
        <w:t>Indem</w:t>
      </w:r>
      <w:proofErr w:type="spellEnd"/>
      <w:r>
        <w:rPr>
          <w:rFonts w:asciiTheme="minorHAnsi" w:hAnsiTheme="minorHAnsi"/>
          <w:i/>
          <w:iCs/>
          <w:sz w:val="28"/>
          <w:szCs w:val="28"/>
        </w:rPr>
        <w:t>. Ins. Co. of N. Am. v. Mandell</w:t>
      </w:r>
      <w:r>
        <w:rPr>
          <w:rFonts w:asciiTheme="minorHAnsi" w:hAnsiTheme="minorHAnsi"/>
          <w:iCs/>
          <w:sz w:val="28"/>
          <w:szCs w:val="28"/>
        </w:rPr>
        <w:t>, 817 N.Y.S. 2d 223 (S.C. App. Div. 2006) was anothe</w:t>
      </w:r>
      <w:r w:rsidR="00964A83">
        <w:rPr>
          <w:rFonts w:asciiTheme="minorHAnsi" w:hAnsiTheme="minorHAnsi"/>
          <w:iCs/>
          <w:sz w:val="28"/>
          <w:szCs w:val="28"/>
        </w:rPr>
        <w:t>r case in which a party declined an order by an</w:t>
      </w:r>
      <w:r>
        <w:rPr>
          <w:rFonts w:asciiTheme="minorHAnsi" w:hAnsiTheme="minorHAnsi"/>
          <w:iCs/>
          <w:sz w:val="28"/>
          <w:szCs w:val="28"/>
        </w:rPr>
        <w:t xml:space="preserve"> arbitration panel to sign a hold harmless.  The court order</w:t>
      </w:r>
      <w:r w:rsidR="00964A83">
        <w:rPr>
          <w:rFonts w:asciiTheme="minorHAnsi" w:hAnsiTheme="minorHAnsi"/>
          <w:iCs/>
          <w:sz w:val="28"/>
          <w:szCs w:val="28"/>
        </w:rPr>
        <w:t>ed</w:t>
      </w:r>
      <w:r>
        <w:rPr>
          <w:rFonts w:asciiTheme="minorHAnsi" w:hAnsiTheme="minorHAnsi"/>
          <w:iCs/>
          <w:sz w:val="28"/>
          <w:szCs w:val="28"/>
        </w:rPr>
        <w:t xml:space="preserve"> that the hold harmless be signed, again citing common law immunity:</w:t>
      </w:r>
    </w:p>
    <w:p w14:paraId="4BF06B91" w14:textId="77777777" w:rsidR="00B529E5" w:rsidRDefault="00B529E5" w:rsidP="00B529E5">
      <w:pPr>
        <w:pStyle w:val="NormalWeb"/>
        <w:spacing w:before="0" w:beforeAutospacing="0" w:after="0" w:afterAutospacing="0"/>
        <w:ind w:left="90"/>
        <w:rPr>
          <w:rFonts w:asciiTheme="minorHAnsi" w:hAnsiTheme="minorHAnsi"/>
          <w:iCs/>
          <w:sz w:val="28"/>
          <w:szCs w:val="28"/>
        </w:rPr>
      </w:pPr>
    </w:p>
    <w:p w14:paraId="615B8772" w14:textId="77777777" w:rsidR="00B529E5" w:rsidRDefault="00B529E5" w:rsidP="00B529E5">
      <w:pPr>
        <w:pStyle w:val="NormalWeb"/>
        <w:spacing w:before="0" w:beforeAutospacing="0" w:after="0" w:afterAutospacing="0"/>
        <w:ind w:left="1440" w:right="1350"/>
        <w:rPr>
          <w:rFonts w:asciiTheme="minorHAnsi" w:hAnsiTheme="minorHAnsi"/>
          <w:iCs/>
          <w:sz w:val="28"/>
          <w:szCs w:val="28"/>
        </w:rPr>
      </w:pPr>
      <w:r>
        <w:rPr>
          <w:rFonts w:asciiTheme="minorHAnsi" w:hAnsiTheme="minorHAnsi"/>
          <w:iCs/>
          <w:sz w:val="28"/>
          <w:szCs w:val="28"/>
        </w:rPr>
        <w:t>[</w:t>
      </w:r>
      <w:proofErr w:type="gramStart"/>
      <w:r>
        <w:rPr>
          <w:rFonts w:asciiTheme="minorHAnsi" w:hAnsiTheme="minorHAnsi"/>
          <w:iCs/>
          <w:sz w:val="28"/>
          <w:szCs w:val="28"/>
        </w:rPr>
        <w:t>G]</w:t>
      </w:r>
      <w:proofErr w:type="spellStart"/>
      <w:r>
        <w:rPr>
          <w:rFonts w:asciiTheme="minorHAnsi" w:hAnsiTheme="minorHAnsi"/>
          <w:iCs/>
          <w:sz w:val="28"/>
          <w:szCs w:val="28"/>
        </w:rPr>
        <w:t>iven</w:t>
      </w:r>
      <w:proofErr w:type="spellEnd"/>
      <w:proofErr w:type="gramEnd"/>
      <w:r>
        <w:rPr>
          <w:rFonts w:asciiTheme="minorHAnsi" w:hAnsiTheme="minorHAnsi"/>
          <w:iCs/>
          <w:sz w:val="28"/>
          <w:szCs w:val="28"/>
        </w:rPr>
        <w:t xml:space="preserve"> that the hold harmless agreement demanded by the arbitrators gives them no more protection than they are already entitled to under the prevailing rule that arbitrators are immune from liability for acts performed in their arbit</w:t>
      </w:r>
      <w:r w:rsidR="00772582">
        <w:rPr>
          <w:rFonts w:asciiTheme="minorHAnsi" w:hAnsiTheme="minorHAnsi"/>
          <w:iCs/>
          <w:sz w:val="28"/>
          <w:szCs w:val="28"/>
        </w:rPr>
        <w:t>ral capacity</w:t>
      </w:r>
      <w:r>
        <w:rPr>
          <w:rFonts w:asciiTheme="minorHAnsi" w:hAnsiTheme="minorHAnsi"/>
          <w:iCs/>
          <w:sz w:val="28"/>
          <w:szCs w:val="28"/>
        </w:rPr>
        <w:t xml:space="preserve">, compelling execution of such an agreement is not to add a term to the parties’ arbitration agreement but, rather, under governing Pennsylvania law, to enforce a necessarily implied obligation. </w:t>
      </w:r>
      <w:r>
        <w:rPr>
          <w:rStyle w:val="EndnoteReference"/>
          <w:rFonts w:asciiTheme="minorHAnsi" w:hAnsiTheme="minorHAnsi"/>
          <w:iCs/>
          <w:sz w:val="28"/>
          <w:szCs w:val="28"/>
        </w:rPr>
        <w:endnoteReference w:id="5"/>
      </w:r>
    </w:p>
    <w:p w14:paraId="0F67FE3A" w14:textId="77777777" w:rsidR="00F45018" w:rsidRDefault="00F45018" w:rsidP="00B529E5">
      <w:pPr>
        <w:pStyle w:val="NormalWeb"/>
        <w:spacing w:before="0" w:beforeAutospacing="0" w:after="0" w:afterAutospacing="0"/>
        <w:ind w:left="1440" w:right="1350"/>
        <w:rPr>
          <w:rFonts w:asciiTheme="minorHAnsi" w:hAnsiTheme="minorHAnsi"/>
          <w:iCs/>
          <w:sz w:val="28"/>
          <w:szCs w:val="28"/>
        </w:rPr>
      </w:pPr>
    </w:p>
    <w:p w14:paraId="6F216063" w14:textId="77777777" w:rsidR="004011A6" w:rsidRDefault="004011A6" w:rsidP="00B529E5">
      <w:pPr>
        <w:pStyle w:val="NormalWeb"/>
        <w:spacing w:before="0" w:beforeAutospacing="0" w:after="0" w:afterAutospacing="0"/>
        <w:ind w:left="1440" w:right="1350"/>
        <w:rPr>
          <w:rFonts w:asciiTheme="minorHAnsi" w:hAnsiTheme="minorHAnsi"/>
          <w:iCs/>
          <w:sz w:val="28"/>
          <w:szCs w:val="28"/>
        </w:rPr>
      </w:pPr>
    </w:p>
    <w:p w14:paraId="2390BA6F" w14:textId="77777777" w:rsidR="00F45018" w:rsidRDefault="00F45018" w:rsidP="00F45018">
      <w:pPr>
        <w:pStyle w:val="NormalWeb"/>
        <w:numPr>
          <w:ilvl w:val="0"/>
          <w:numId w:val="3"/>
        </w:numPr>
        <w:tabs>
          <w:tab w:val="left" w:pos="8640"/>
        </w:tabs>
        <w:spacing w:before="0" w:beforeAutospacing="0" w:after="0" w:afterAutospacing="0"/>
        <w:ind w:right="90"/>
        <w:rPr>
          <w:rFonts w:asciiTheme="minorHAnsi" w:hAnsiTheme="minorHAnsi"/>
          <w:b/>
          <w:iCs/>
          <w:sz w:val="28"/>
          <w:szCs w:val="28"/>
        </w:rPr>
      </w:pPr>
      <w:r>
        <w:rPr>
          <w:rFonts w:asciiTheme="minorHAnsi" w:hAnsiTheme="minorHAnsi"/>
          <w:b/>
          <w:iCs/>
          <w:sz w:val="28"/>
          <w:szCs w:val="28"/>
        </w:rPr>
        <w:t>Hold Harmless at Common Law</w:t>
      </w:r>
    </w:p>
    <w:p w14:paraId="410603EA" w14:textId="77777777" w:rsidR="00B212DE" w:rsidRDefault="00B212DE" w:rsidP="00B212DE">
      <w:pPr>
        <w:pStyle w:val="NormalWeb"/>
        <w:tabs>
          <w:tab w:val="left" w:pos="8640"/>
        </w:tabs>
        <w:spacing w:before="0" w:beforeAutospacing="0" w:after="0" w:afterAutospacing="0"/>
        <w:ind w:left="1840" w:right="90"/>
        <w:rPr>
          <w:rFonts w:asciiTheme="minorHAnsi" w:hAnsiTheme="minorHAnsi"/>
          <w:b/>
          <w:iCs/>
          <w:sz w:val="28"/>
          <w:szCs w:val="28"/>
        </w:rPr>
      </w:pPr>
    </w:p>
    <w:p w14:paraId="024CF31E" w14:textId="77777777" w:rsidR="00C03592" w:rsidRDefault="00C03592" w:rsidP="007E0A12">
      <w:pPr>
        <w:pStyle w:val="NormalWeb"/>
        <w:tabs>
          <w:tab w:val="left" w:pos="8640"/>
        </w:tabs>
        <w:spacing w:before="0" w:beforeAutospacing="0" w:after="0" w:afterAutospacing="0"/>
        <w:ind w:right="90"/>
        <w:rPr>
          <w:iCs/>
          <w:sz w:val="28"/>
          <w:szCs w:val="28"/>
        </w:rPr>
      </w:pPr>
      <w:r w:rsidRPr="00C03592">
        <w:rPr>
          <w:iCs/>
          <w:sz w:val="28"/>
          <w:szCs w:val="28"/>
        </w:rPr>
        <w:t xml:space="preserve">There is a great deal of case law supporting arbitral immunity.  The theory behind it is explained in </w:t>
      </w:r>
      <w:proofErr w:type="spellStart"/>
      <w:r w:rsidRPr="00D027C6">
        <w:rPr>
          <w:i/>
          <w:iCs/>
          <w:sz w:val="28"/>
          <w:szCs w:val="28"/>
        </w:rPr>
        <w:t>Austern</w:t>
      </w:r>
      <w:proofErr w:type="spellEnd"/>
      <w:r w:rsidRPr="00D027C6">
        <w:rPr>
          <w:i/>
          <w:iCs/>
          <w:sz w:val="28"/>
          <w:szCs w:val="28"/>
        </w:rPr>
        <w:t xml:space="preserve"> v.</w:t>
      </w:r>
      <w:r w:rsidR="004B1E52">
        <w:rPr>
          <w:i/>
          <w:iCs/>
          <w:sz w:val="28"/>
          <w:szCs w:val="28"/>
        </w:rPr>
        <w:t xml:space="preserve"> </w:t>
      </w:r>
      <w:r w:rsidRPr="00D027C6">
        <w:rPr>
          <w:i/>
          <w:iCs/>
          <w:sz w:val="28"/>
          <w:szCs w:val="28"/>
        </w:rPr>
        <w:t>Chicago Board of Options Exchange</w:t>
      </w:r>
      <w:r w:rsidRPr="00C03592">
        <w:rPr>
          <w:iCs/>
          <w:sz w:val="28"/>
          <w:szCs w:val="28"/>
        </w:rPr>
        <w:t>, 898 F.2d 882 (2</w:t>
      </w:r>
      <w:r w:rsidRPr="00C03592">
        <w:rPr>
          <w:iCs/>
          <w:sz w:val="28"/>
          <w:szCs w:val="28"/>
          <w:vertAlign w:val="superscript"/>
        </w:rPr>
        <w:t>nd</w:t>
      </w:r>
      <w:r w:rsidRPr="00C03592">
        <w:rPr>
          <w:iCs/>
          <w:sz w:val="28"/>
          <w:szCs w:val="28"/>
        </w:rPr>
        <w:t xml:space="preserve"> Cir.1990) at 885-6:</w:t>
      </w:r>
    </w:p>
    <w:p w14:paraId="5D17819D" w14:textId="77777777" w:rsidR="007E0A12" w:rsidRPr="007E0A12" w:rsidRDefault="007E0A12" w:rsidP="007E0A12">
      <w:pPr>
        <w:pStyle w:val="NormalWeb"/>
        <w:tabs>
          <w:tab w:val="left" w:pos="8640"/>
        </w:tabs>
        <w:spacing w:before="0" w:beforeAutospacing="0" w:after="0" w:afterAutospacing="0"/>
        <w:ind w:right="90"/>
        <w:rPr>
          <w:rFonts w:asciiTheme="minorHAnsi" w:hAnsiTheme="minorHAnsi"/>
          <w:iCs/>
          <w:sz w:val="28"/>
          <w:szCs w:val="28"/>
        </w:rPr>
      </w:pPr>
    </w:p>
    <w:p w14:paraId="69D45B52" w14:textId="77777777" w:rsidR="00C03592" w:rsidRDefault="00C03592" w:rsidP="00C03592">
      <w:pPr>
        <w:spacing w:after="0"/>
        <w:ind w:left="1354" w:right="1440"/>
        <w:rPr>
          <w:iCs/>
          <w:sz w:val="28"/>
          <w:szCs w:val="28"/>
        </w:rPr>
      </w:pPr>
      <w:r w:rsidRPr="00C03592">
        <w:rPr>
          <w:iCs/>
          <w:sz w:val="28"/>
          <w:szCs w:val="28"/>
        </w:rPr>
        <w:t>Absolute immunity, “justified and defined by the functions it protects and serves, not by the person to whom it attaches,” has long shielded judges from damages liability for actions taken in the exercise of their judicial functions.  This comparatively sweeping form of immunity has also been extended to executive branch officials who perform either quasi-judicial functions, or prosecutorial functions “intimately associated with the judicial phase of the criminal process”.  As with judicial immunity, which “protect[s] the finality of judgments [by] discouraging inappropriate collateral attacks . . . [and] also protect[s] judicial independence by insulating judges from vexatious actions prosecuted by disgruntled litigants,” the scope of quasi-judicial immunity is defined not by the</w:t>
      </w:r>
      <w:r>
        <w:rPr>
          <w:iCs/>
        </w:rPr>
        <w:t xml:space="preserve"> </w:t>
      </w:r>
      <w:r w:rsidRPr="00772582">
        <w:rPr>
          <w:iCs/>
          <w:sz w:val="28"/>
          <w:szCs w:val="28"/>
        </w:rPr>
        <w:t>identity of the</w:t>
      </w:r>
      <w:r>
        <w:rPr>
          <w:iCs/>
        </w:rPr>
        <w:t xml:space="preserve"> </w:t>
      </w:r>
      <w:r w:rsidRPr="00C03592">
        <w:rPr>
          <w:iCs/>
          <w:sz w:val="28"/>
          <w:szCs w:val="28"/>
        </w:rPr>
        <w:t xml:space="preserve">actor but by the nature of the function performed, namely freeing the adjudicative process and those involved therein from harassment or </w:t>
      </w:r>
      <w:r w:rsidR="007436C7" w:rsidRPr="00C03592">
        <w:rPr>
          <w:iCs/>
          <w:sz w:val="28"/>
          <w:szCs w:val="28"/>
        </w:rPr>
        <w:t>intimidation .</w:t>
      </w:r>
      <w:r w:rsidRPr="00C03592">
        <w:rPr>
          <w:iCs/>
          <w:sz w:val="28"/>
          <w:szCs w:val="28"/>
        </w:rPr>
        <w:t xml:space="preserve"> . </w:t>
      </w:r>
      <w:proofErr w:type="gramStart"/>
      <w:r w:rsidRPr="00C03592">
        <w:rPr>
          <w:iCs/>
          <w:sz w:val="28"/>
          <w:szCs w:val="28"/>
        </w:rPr>
        <w:t>. .</w:t>
      </w:r>
      <w:proofErr w:type="gramEnd"/>
    </w:p>
    <w:p w14:paraId="12C0503A" w14:textId="77777777" w:rsidR="00B529E5" w:rsidRPr="00C03592" w:rsidRDefault="00C03592" w:rsidP="00C03592">
      <w:pPr>
        <w:spacing w:after="0"/>
        <w:ind w:left="1354" w:right="1440"/>
        <w:rPr>
          <w:iCs/>
          <w:sz w:val="28"/>
          <w:szCs w:val="28"/>
        </w:rPr>
      </w:pPr>
      <w:r w:rsidRPr="00C03592">
        <w:rPr>
          <w:iCs/>
          <w:sz w:val="28"/>
          <w:szCs w:val="28"/>
        </w:rPr>
        <w:t>We are persuaded by these policy concerns and agree that the nature of the function performed by arbitrators necessitates protection analogous to that traditionally accorded to judges.  Furthermore, we note that</w:t>
      </w:r>
    </w:p>
    <w:p w14:paraId="76D28913" w14:textId="77777777" w:rsidR="00D027C6" w:rsidRPr="00D027C6" w:rsidRDefault="00D027C6" w:rsidP="0096365D">
      <w:pPr>
        <w:ind w:left="1350" w:right="1350"/>
        <w:rPr>
          <w:iCs/>
          <w:sz w:val="28"/>
          <w:szCs w:val="28"/>
        </w:rPr>
      </w:pPr>
      <w:r w:rsidRPr="00D027C6">
        <w:rPr>
          <w:iCs/>
          <w:sz w:val="28"/>
          <w:szCs w:val="28"/>
        </w:rPr>
        <w:t>“</w:t>
      </w:r>
      <w:proofErr w:type="gramStart"/>
      <w:r w:rsidRPr="00D027C6">
        <w:rPr>
          <w:iCs/>
          <w:sz w:val="28"/>
          <w:szCs w:val="28"/>
        </w:rPr>
        <w:t>individuals</w:t>
      </w:r>
      <w:proofErr w:type="gramEnd"/>
      <w:r w:rsidRPr="00D027C6">
        <w:rPr>
          <w:iCs/>
          <w:sz w:val="28"/>
          <w:szCs w:val="28"/>
        </w:rPr>
        <w:t xml:space="preserve"> . . . cannot be expected to volunteer to arbitrate disputes if they can be caught up in the struggle between litigants and saddled with the burdens of defending a lawsuit.” Accordingly, we hold that arbitrators </w:t>
      </w:r>
      <w:r w:rsidRPr="00D027C6">
        <w:rPr>
          <w:iCs/>
          <w:sz w:val="28"/>
          <w:szCs w:val="28"/>
        </w:rPr>
        <w:lastRenderedPageBreak/>
        <w:t>in contractually agreed upon arbitration proceedings are absolutely immune from liability in damages for all acts within the scope of the arbitral process</w:t>
      </w:r>
      <w:r w:rsidR="00964A83">
        <w:rPr>
          <w:iCs/>
          <w:sz w:val="28"/>
          <w:szCs w:val="28"/>
        </w:rPr>
        <w:t>.</w:t>
      </w:r>
      <w:r w:rsidRPr="00D027C6">
        <w:rPr>
          <w:iCs/>
          <w:sz w:val="28"/>
          <w:szCs w:val="28"/>
        </w:rPr>
        <w:t xml:space="preserve"> (</w:t>
      </w:r>
      <w:r w:rsidR="0096365D">
        <w:rPr>
          <w:iCs/>
          <w:sz w:val="28"/>
          <w:szCs w:val="28"/>
        </w:rPr>
        <w:t xml:space="preserve">Internal </w:t>
      </w:r>
      <w:r w:rsidR="00964A83">
        <w:rPr>
          <w:iCs/>
          <w:sz w:val="28"/>
          <w:szCs w:val="28"/>
        </w:rPr>
        <w:t>citations omitted)</w:t>
      </w:r>
    </w:p>
    <w:p w14:paraId="05E18D1A" w14:textId="77777777" w:rsidR="00D027C6" w:rsidRPr="00D027C6" w:rsidRDefault="00964A83" w:rsidP="00D027C6">
      <w:pPr>
        <w:rPr>
          <w:iCs/>
          <w:sz w:val="28"/>
          <w:szCs w:val="28"/>
        </w:rPr>
      </w:pPr>
      <w:r>
        <w:rPr>
          <w:iCs/>
          <w:sz w:val="28"/>
          <w:szCs w:val="28"/>
        </w:rPr>
        <w:t>Similar expressions of</w:t>
      </w:r>
      <w:r w:rsidR="00D027C6" w:rsidRPr="00D027C6">
        <w:rPr>
          <w:iCs/>
          <w:sz w:val="28"/>
          <w:szCs w:val="28"/>
        </w:rPr>
        <w:t xml:space="preserve"> broad arbitrator immunity can be found in many cases </w:t>
      </w:r>
      <w:r w:rsidR="00D027C6" w:rsidRPr="00D027C6">
        <w:rPr>
          <w:i/>
          <w:iCs/>
          <w:sz w:val="28"/>
          <w:szCs w:val="28"/>
        </w:rPr>
        <w:t>see e.g. Olsen v. National Association of Securities Dealers</w:t>
      </w:r>
      <w:r w:rsidR="00D027C6" w:rsidRPr="00D027C6">
        <w:rPr>
          <w:iCs/>
          <w:sz w:val="28"/>
          <w:szCs w:val="28"/>
        </w:rPr>
        <w:t>, 85 F.3d 381, 382 (8</w:t>
      </w:r>
      <w:r w:rsidR="00D027C6" w:rsidRPr="00D027C6">
        <w:rPr>
          <w:iCs/>
          <w:sz w:val="28"/>
          <w:szCs w:val="28"/>
          <w:vertAlign w:val="superscript"/>
        </w:rPr>
        <w:t>th</w:t>
      </w:r>
      <w:r w:rsidR="00D027C6" w:rsidRPr="00D027C6">
        <w:rPr>
          <w:iCs/>
          <w:sz w:val="28"/>
          <w:szCs w:val="28"/>
        </w:rPr>
        <w:t xml:space="preserve"> Cir.1996); </w:t>
      </w:r>
      <w:r w:rsidR="00D027C6" w:rsidRPr="00D027C6">
        <w:rPr>
          <w:i/>
          <w:iCs/>
          <w:sz w:val="28"/>
          <w:szCs w:val="28"/>
        </w:rPr>
        <w:t>International Medical Group v. American Arbitration Assoc</w:t>
      </w:r>
      <w:r w:rsidR="00D027C6" w:rsidRPr="00D027C6">
        <w:rPr>
          <w:iCs/>
          <w:sz w:val="28"/>
          <w:szCs w:val="28"/>
          <w:u w:val="single"/>
        </w:rPr>
        <w:t>.,</w:t>
      </w:r>
      <w:r w:rsidR="00D027C6" w:rsidRPr="00D027C6">
        <w:rPr>
          <w:iCs/>
          <w:sz w:val="28"/>
          <w:szCs w:val="28"/>
        </w:rPr>
        <w:t xml:space="preserve"> 312 F.3d 833, 843 (7</w:t>
      </w:r>
      <w:r w:rsidR="00D027C6" w:rsidRPr="00D027C6">
        <w:rPr>
          <w:iCs/>
          <w:sz w:val="28"/>
          <w:szCs w:val="28"/>
          <w:vertAlign w:val="superscript"/>
        </w:rPr>
        <w:t>th</w:t>
      </w:r>
      <w:r w:rsidR="00D027C6" w:rsidRPr="00D027C6">
        <w:rPr>
          <w:iCs/>
          <w:sz w:val="28"/>
          <w:szCs w:val="28"/>
        </w:rPr>
        <w:t xml:space="preserve"> Cir.2002)</w:t>
      </w:r>
      <w:proofErr w:type="gramStart"/>
      <w:r w:rsidR="00D027C6" w:rsidRPr="00D027C6">
        <w:rPr>
          <w:iCs/>
          <w:sz w:val="28"/>
          <w:szCs w:val="28"/>
        </w:rPr>
        <w:t xml:space="preserve">;  </w:t>
      </w:r>
      <w:proofErr w:type="spellStart"/>
      <w:r w:rsidR="00D027C6" w:rsidRPr="00D027C6">
        <w:rPr>
          <w:i/>
          <w:iCs/>
          <w:sz w:val="28"/>
          <w:szCs w:val="28"/>
        </w:rPr>
        <w:t>Cort</w:t>
      </w:r>
      <w:proofErr w:type="spellEnd"/>
      <w:proofErr w:type="gramEnd"/>
      <w:r w:rsidR="00D027C6" w:rsidRPr="00D027C6">
        <w:rPr>
          <w:i/>
          <w:iCs/>
          <w:sz w:val="28"/>
          <w:szCs w:val="28"/>
        </w:rPr>
        <w:t xml:space="preserve"> v. American Arbitration Association</w:t>
      </w:r>
      <w:r w:rsidR="00D027C6" w:rsidRPr="00D027C6">
        <w:rPr>
          <w:iCs/>
          <w:sz w:val="28"/>
          <w:szCs w:val="28"/>
        </w:rPr>
        <w:t xml:space="preserve">, 795 F.Supp. </w:t>
      </w:r>
      <w:proofErr w:type="gramStart"/>
      <w:r w:rsidR="00D027C6" w:rsidRPr="00D027C6">
        <w:rPr>
          <w:iCs/>
          <w:sz w:val="28"/>
          <w:szCs w:val="28"/>
        </w:rPr>
        <w:t xml:space="preserve">970, 972-3 (N.D.Cal.1992); </w:t>
      </w:r>
      <w:r w:rsidR="00D027C6" w:rsidRPr="00D027C6">
        <w:rPr>
          <w:i/>
          <w:iCs/>
          <w:sz w:val="28"/>
          <w:szCs w:val="28"/>
        </w:rPr>
        <w:t xml:space="preserve">Hill v. </w:t>
      </w:r>
      <w:proofErr w:type="spellStart"/>
      <w:r w:rsidR="00D027C6" w:rsidRPr="00D027C6">
        <w:rPr>
          <w:i/>
          <w:iCs/>
          <w:sz w:val="28"/>
          <w:szCs w:val="28"/>
        </w:rPr>
        <w:t>Aro</w:t>
      </w:r>
      <w:proofErr w:type="spellEnd"/>
      <w:r w:rsidR="00D027C6" w:rsidRPr="00D027C6">
        <w:rPr>
          <w:i/>
          <w:iCs/>
          <w:sz w:val="28"/>
          <w:szCs w:val="28"/>
        </w:rPr>
        <w:t xml:space="preserve"> Corporation,</w:t>
      </w:r>
      <w:r w:rsidR="00D027C6" w:rsidRPr="00D027C6">
        <w:rPr>
          <w:iCs/>
          <w:sz w:val="28"/>
          <w:szCs w:val="28"/>
        </w:rPr>
        <w:t xml:space="preserve"> 263 F.Supp.</w:t>
      </w:r>
      <w:proofErr w:type="gramEnd"/>
      <w:r w:rsidR="00D027C6" w:rsidRPr="00D027C6">
        <w:rPr>
          <w:iCs/>
          <w:sz w:val="28"/>
          <w:szCs w:val="28"/>
        </w:rPr>
        <w:t xml:space="preserve"> 324, 326 (N.D.</w:t>
      </w:r>
      <w:r>
        <w:rPr>
          <w:iCs/>
          <w:sz w:val="28"/>
          <w:szCs w:val="28"/>
        </w:rPr>
        <w:t xml:space="preserve"> </w:t>
      </w:r>
      <w:r w:rsidR="00D027C6" w:rsidRPr="00D027C6">
        <w:rPr>
          <w:iCs/>
          <w:sz w:val="28"/>
          <w:szCs w:val="28"/>
        </w:rPr>
        <w:t>Ohio</w:t>
      </w:r>
      <w:r>
        <w:rPr>
          <w:iCs/>
          <w:sz w:val="28"/>
          <w:szCs w:val="28"/>
        </w:rPr>
        <w:t xml:space="preserve"> </w:t>
      </w:r>
      <w:r w:rsidR="00D027C6" w:rsidRPr="00D027C6">
        <w:rPr>
          <w:iCs/>
          <w:sz w:val="28"/>
          <w:szCs w:val="28"/>
        </w:rPr>
        <w:t xml:space="preserve">1967); </w:t>
      </w:r>
      <w:proofErr w:type="spellStart"/>
      <w:r w:rsidR="00D027C6" w:rsidRPr="00D027C6">
        <w:rPr>
          <w:i/>
          <w:iCs/>
          <w:sz w:val="28"/>
          <w:szCs w:val="28"/>
        </w:rPr>
        <w:t>Airco</w:t>
      </w:r>
      <w:proofErr w:type="spellEnd"/>
      <w:r w:rsidR="00D027C6" w:rsidRPr="00D027C6">
        <w:rPr>
          <w:i/>
          <w:iCs/>
          <w:sz w:val="28"/>
          <w:szCs w:val="28"/>
        </w:rPr>
        <w:t xml:space="preserve"> v. </w:t>
      </w:r>
      <w:proofErr w:type="spellStart"/>
      <w:r w:rsidR="00D027C6" w:rsidRPr="00D027C6">
        <w:rPr>
          <w:i/>
          <w:iCs/>
          <w:sz w:val="28"/>
          <w:szCs w:val="28"/>
        </w:rPr>
        <w:t>Rapistan</w:t>
      </w:r>
      <w:proofErr w:type="spellEnd"/>
      <w:r w:rsidR="00D027C6" w:rsidRPr="00D027C6">
        <w:rPr>
          <w:i/>
          <w:iCs/>
          <w:sz w:val="28"/>
          <w:szCs w:val="28"/>
        </w:rPr>
        <w:t xml:space="preserve"> Corp.,</w:t>
      </w:r>
      <w:r w:rsidR="00D027C6" w:rsidRPr="00D027C6">
        <w:rPr>
          <w:iCs/>
          <w:sz w:val="28"/>
          <w:szCs w:val="28"/>
        </w:rPr>
        <w:t xml:space="preserve"> 446 N.W.2d 372, 376-7 (Minn.1989); </w:t>
      </w:r>
      <w:proofErr w:type="spellStart"/>
      <w:r w:rsidR="00D027C6" w:rsidRPr="00D027C6">
        <w:rPr>
          <w:i/>
          <w:iCs/>
          <w:sz w:val="28"/>
          <w:szCs w:val="28"/>
        </w:rPr>
        <w:t>Stasz</w:t>
      </w:r>
      <w:proofErr w:type="spellEnd"/>
      <w:r w:rsidR="00D027C6" w:rsidRPr="00D027C6">
        <w:rPr>
          <w:i/>
          <w:iCs/>
          <w:sz w:val="28"/>
          <w:szCs w:val="28"/>
        </w:rPr>
        <w:t xml:space="preserve"> v. Charles R. Schwab</w:t>
      </w:r>
      <w:r w:rsidR="00D027C6" w:rsidRPr="00D027C6">
        <w:rPr>
          <w:iCs/>
          <w:sz w:val="28"/>
          <w:szCs w:val="28"/>
        </w:rPr>
        <w:t>, 121 Cal.App.4</w:t>
      </w:r>
      <w:r w:rsidR="00D027C6" w:rsidRPr="00D027C6">
        <w:rPr>
          <w:iCs/>
          <w:sz w:val="28"/>
          <w:szCs w:val="28"/>
          <w:vertAlign w:val="superscript"/>
        </w:rPr>
        <w:t>th</w:t>
      </w:r>
      <w:r w:rsidR="00D027C6" w:rsidRPr="00D027C6">
        <w:rPr>
          <w:iCs/>
          <w:sz w:val="28"/>
          <w:szCs w:val="28"/>
        </w:rPr>
        <w:t xml:space="preserve"> 420, 430-1 (2004).</w:t>
      </w:r>
    </w:p>
    <w:p w14:paraId="38EEC0D7" w14:textId="77777777" w:rsidR="00D027C6" w:rsidRDefault="00D027C6" w:rsidP="00D027C6">
      <w:pPr>
        <w:rPr>
          <w:iCs/>
          <w:sz w:val="28"/>
          <w:szCs w:val="28"/>
        </w:rPr>
      </w:pPr>
      <w:r w:rsidRPr="00D027C6">
        <w:rPr>
          <w:iCs/>
          <w:sz w:val="28"/>
          <w:szCs w:val="28"/>
        </w:rPr>
        <w:t xml:space="preserve">This immunity has been extended to </w:t>
      </w:r>
      <w:r w:rsidR="007436C7" w:rsidRPr="00D027C6">
        <w:rPr>
          <w:iCs/>
          <w:sz w:val="28"/>
          <w:szCs w:val="28"/>
        </w:rPr>
        <w:t>organizations that</w:t>
      </w:r>
      <w:r w:rsidRPr="00D027C6">
        <w:rPr>
          <w:iCs/>
          <w:sz w:val="28"/>
          <w:szCs w:val="28"/>
        </w:rPr>
        <w:t xml:space="preserve"> sponsor arbitrations as well.  </w:t>
      </w:r>
      <w:r w:rsidRPr="00D027C6">
        <w:rPr>
          <w:i/>
          <w:iCs/>
          <w:sz w:val="28"/>
          <w:szCs w:val="28"/>
        </w:rPr>
        <w:t>See e.g.</w:t>
      </w:r>
      <w:r w:rsidRPr="00D027C6">
        <w:rPr>
          <w:iCs/>
          <w:sz w:val="28"/>
          <w:szCs w:val="28"/>
        </w:rPr>
        <w:t xml:space="preserve"> </w:t>
      </w:r>
      <w:r w:rsidRPr="00D027C6">
        <w:rPr>
          <w:i/>
          <w:iCs/>
          <w:sz w:val="28"/>
          <w:szCs w:val="28"/>
        </w:rPr>
        <w:t>Cory v. New York Stock Exchange</w:t>
      </w:r>
      <w:r w:rsidRPr="00D027C6">
        <w:rPr>
          <w:iCs/>
          <w:sz w:val="28"/>
          <w:szCs w:val="28"/>
        </w:rPr>
        <w:t>, 691 F.2d 1205, 1211 (6</w:t>
      </w:r>
      <w:r w:rsidRPr="00D027C6">
        <w:rPr>
          <w:iCs/>
          <w:sz w:val="28"/>
          <w:szCs w:val="28"/>
          <w:vertAlign w:val="superscript"/>
        </w:rPr>
        <w:t>th</w:t>
      </w:r>
      <w:r w:rsidRPr="00D027C6">
        <w:rPr>
          <w:iCs/>
          <w:sz w:val="28"/>
          <w:szCs w:val="28"/>
        </w:rPr>
        <w:t xml:space="preserve"> Cir.1982); </w:t>
      </w:r>
      <w:proofErr w:type="spellStart"/>
      <w:r w:rsidRPr="00D027C6">
        <w:rPr>
          <w:i/>
          <w:iCs/>
          <w:sz w:val="28"/>
          <w:szCs w:val="28"/>
        </w:rPr>
        <w:t>Austern</w:t>
      </w:r>
      <w:proofErr w:type="spellEnd"/>
      <w:r w:rsidRPr="00D027C6">
        <w:rPr>
          <w:i/>
          <w:iCs/>
          <w:sz w:val="28"/>
          <w:szCs w:val="28"/>
        </w:rPr>
        <w:t>,</w:t>
      </w:r>
      <w:r w:rsidRPr="00D027C6">
        <w:rPr>
          <w:iCs/>
          <w:sz w:val="28"/>
          <w:szCs w:val="28"/>
        </w:rPr>
        <w:t xml:space="preserve"> </w:t>
      </w:r>
      <w:r w:rsidRPr="00D027C6">
        <w:rPr>
          <w:i/>
          <w:iCs/>
          <w:sz w:val="28"/>
          <w:szCs w:val="28"/>
        </w:rPr>
        <w:t>supra</w:t>
      </w:r>
      <w:r w:rsidRPr="00D027C6">
        <w:rPr>
          <w:iCs/>
          <w:sz w:val="28"/>
          <w:szCs w:val="28"/>
        </w:rPr>
        <w:t xml:space="preserve"> at 886.</w:t>
      </w:r>
    </w:p>
    <w:p w14:paraId="3A68B9E5" w14:textId="77777777" w:rsidR="007E0A12" w:rsidRDefault="005F5905" w:rsidP="007E0A12">
      <w:pPr>
        <w:pStyle w:val="ListParagraph"/>
        <w:numPr>
          <w:ilvl w:val="0"/>
          <w:numId w:val="2"/>
        </w:numPr>
        <w:rPr>
          <w:b/>
          <w:iCs/>
          <w:sz w:val="28"/>
          <w:szCs w:val="28"/>
        </w:rPr>
      </w:pPr>
      <w:r w:rsidRPr="005F5905">
        <w:rPr>
          <w:b/>
          <w:iCs/>
          <w:sz w:val="28"/>
          <w:szCs w:val="28"/>
        </w:rPr>
        <w:t>Confidentiality Agreements</w:t>
      </w:r>
    </w:p>
    <w:p w14:paraId="5EB04C19" w14:textId="77777777" w:rsidR="007C4B0E" w:rsidRDefault="007C4B0E" w:rsidP="007E0A12">
      <w:pPr>
        <w:pStyle w:val="ListParagraph"/>
        <w:ind w:left="0"/>
        <w:rPr>
          <w:iCs/>
          <w:sz w:val="28"/>
          <w:szCs w:val="28"/>
        </w:rPr>
      </w:pPr>
    </w:p>
    <w:p w14:paraId="2C6446FB" w14:textId="77777777" w:rsidR="008A3E88" w:rsidRDefault="005F5905" w:rsidP="007E0A12">
      <w:pPr>
        <w:pStyle w:val="ListParagraph"/>
        <w:ind w:left="0"/>
        <w:rPr>
          <w:iCs/>
          <w:sz w:val="28"/>
          <w:szCs w:val="28"/>
        </w:rPr>
      </w:pPr>
      <w:r w:rsidRPr="007E0A12">
        <w:rPr>
          <w:iCs/>
          <w:sz w:val="28"/>
          <w:szCs w:val="28"/>
        </w:rPr>
        <w:t>There is considerably less</w:t>
      </w:r>
      <w:r w:rsidR="00786DB5" w:rsidRPr="007E0A12">
        <w:rPr>
          <w:iCs/>
          <w:sz w:val="28"/>
          <w:szCs w:val="28"/>
        </w:rPr>
        <w:t xml:space="preserve"> caselaw</w:t>
      </w:r>
      <w:r w:rsidRPr="007E0A12">
        <w:rPr>
          <w:iCs/>
          <w:sz w:val="28"/>
          <w:szCs w:val="28"/>
        </w:rPr>
        <w:t xml:space="preserve"> support for the authority of an arbitration panel to order confidentiality when the arbitration clause does not so require and </w:t>
      </w:r>
      <w:r w:rsidR="00AA5484">
        <w:rPr>
          <w:iCs/>
          <w:sz w:val="28"/>
          <w:szCs w:val="28"/>
        </w:rPr>
        <w:t xml:space="preserve">when </w:t>
      </w:r>
      <w:r w:rsidRPr="007E0A12">
        <w:rPr>
          <w:iCs/>
          <w:sz w:val="28"/>
          <w:szCs w:val="28"/>
        </w:rPr>
        <w:t xml:space="preserve">one or both of the parties oppose it.  There are policy arguments on both sides of this issue.  </w:t>
      </w:r>
      <w:r w:rsidRPr="007E0A12">
        <w:rPr>
          <w:i/>
          <w:iCs/>
          <w:sz w:val="28"/>
          <w:szCs w:val="28"/>
        </w:rPr>
        <w:t xml:space="preserve">See </w:t>
      </w:r>
      <w:r w:rsidRPr="007E0A12">
        <w:rPr>
          <w:iCs/>
          <w:sz w:val="28"/>
          <w:szCs w:val="28"/>
        </w:rPr>
        <w:t xml:space="preserve">Lawrence Greengrass and Brigitte </w:t>
      </w:r>
      <w:proofErr w:type="spellStart"/>
      <w:r w:rsidRPr="007E0A12">
        <w:rPr>
          <w:iCs/>
          <w:sz w:val="28"/>
          <w:szCs w:val="28"/>
        </w:rPr>
        <w:t>Nahas</w:t>
      </w:r>
      <w:proofErr w:type="spellEnd"/>
      <w:r w:rsidRPr="007E0A12">
        <w:rPr>
          <w:iCs/>
          <w:sz w:val="28"/>
          <w:szCs w:val="28"/>
        </w:rPr>
        <w:t xml:space="preserve">, </w:t>
      </w:r>
      <w:r w:rsidRPr="007E0A12">
        <w:rPr>
          <w:i/>
          <w:iCs/>
          <w:sz w:val="28"/>
          <w:szCs w:val="28"/>
        </w:rPr>
        <w:t>Do Arbitrators Have the Power to Impose Confidentiality</w:t>
      </w:r>
      <w:proofErr w:type="gramStart"/>
      <w:r w:rsidRPr="007E0A12">
        <w:rPr>
          <w:i/>
          <w:iCs/>
          <w:sz w:val="28"/>
          <w:szCs w:val="28"/>
        </w:rPr>
        <w:t>?,</w:t>
      </w:r>
      <w:proofErr w:type="gramEnd"/>
      <w:r w:rsidRPr="007E0A12">
        <w:rPr>
          <w:i/>
          <w:iCs/>
          <w:sz w:val="28"/>
          <w:szCs w:val="28"/>
        </w:rPr>
        <w:t xml:space="preserve"> </w:t>
      </w:r>
      <w:r w:rsidR="00D64856" w:rsidRPr="007E0A12">
        <w:rPr>
          <w:iCs/>
          <w:sz w:val="28"/>
          <w:szCs w:val="28"/>
        </w:rPr>
        <w:t>ARIAS Quarterly, 1</w:t>
      </w:r>
      <w:r w:rsidR="00D64856" w:rsidRPr="007E0A12">
        <w:rPr>
          <w:iCs/>
          <w:sz w:val="28"/>
          <w:szCs w:val="28"/>
          <w:vertAlign w:val="superscript"/>
        </w:rPr>
        <w:t>st</w:t>
      </w:r>
      <w:r w:rsidR="00964A83">
        <w:rPr>
          <w:iCs/>
          <w:sz w:val="28"/>
          <w:szCs w:val="28"/>
        </w:rPr>
        <w:t xml:space="preserve"> Quarter 2004.  While </w:t>
      </w:r>
      <w:r w:rsidR="00D64856" w:rsidRPr="007E0A12">
        <w:rPr>
          <w:iCs/>
          <w:sz w:val="28"/>
          <w:szCs w:val="28"/>
        </w:rPr>
        <w:t>these argumen</w:t>
      </w:r>
      <w:r w:rsidR="004F70B9" w:rsidRPr="007E0A12">
        <w:rPr>
          <w:iCs/>
          <w:sz w:val="28"/>
          <w:szCs w:val="28"/>
        </w:rPr>
        <w:t xml:space="preserve">ts have yet to produce caselaw </w:t>
      </w:r>
      <w:r w:rsidR="00D64856" w:rsidRPr="007E0A12">
        <w:rPr>
          <w:iCs/>
          <w:sz w:val="28"/>
          <w:szCs w:val="28"/>
        </w:rPr>
        <w:t>support</w:t>
      </w:r>
      <w:r w:rsidR="008A3E88" w:rsidRPr="007E0A12">
        <w:rPr>
          <w:iCs/>
          <w:sz w:val="28"/>
          <w:szCs w:val="28"/>
        </w:rPr>
        <w:t>ing</w:t>
      </w:r>
      <w:r w:rsidR="00D64856" w:rsidRPr="007E0A12">
        <w:rPr>
          <w:iCs/>
          <w:sz w:val="28"/>
          <w:szCs w:val="28"/>
        </w:rPr>
        <w:t xml:space="preserve"> the right of a panel to impose </w:t>
      </w:r>
      <w:r w:rsidR="007436C7" w:rsidRPr="007E0A12">
        <w:rPr>
          <w:iCs/>
          <w:sz w:val="28"/>
          <w:szCs w:val="28"/>
        </w:rPr>
        <w:t>confidentiality</w:t>
      </w:r>
      <w:r w:rsidR="008A3E88" w:rsidRPr="007E0A12">
        <w:rPr>
          <w:iCs/>
          <w:sz w:val="28"/>
          <w:szCs w:val="28"/>
        </w:rPr>
        <w:t xml:space="preserve"> against the wishes of one or both parties</w:t>
      </w:r>
      <w:r w:rsidR="00964A83">
        <w:rPr>
          <w:iCs/>
          <w:sz w:val="28"/>
          <w:szCs w:val="28"/>
        </w:rPr>
        <w:t>,</w:t>
      </w:r>
      <w:r w:rsidR="00D64856" w:rsidRPr="007E0A12">
        <w:rPr>
          <w:iCs/>
          <w:sz w:val="28"/>
          <w:szCs w:val="28"/>
        </w:rPr>
        <w:t xml:space="preserve"> </w:t>
      </w:r>
      <w:r w:rsidR="009F5D53" w:rsidRPr="007E0A12">
        <w:rPr>
          <w:iCs/>
          <w:sz w:val="28"/>
          <w:szCs w:val="28"/>
        </w:rPr>
        <w:t>there</w:t>
      </w:r>
      <w:r w:rsidR="008A3E88" w:rsidRPr="007E0A12">
        <w:rPr>
          <w:iCs/>
          <w:sz w:val="28"/>
          <w:szCs w:val="28"/>
        </w:rPr>
        <w:t xml:space="preserve"> is some </w:t>
      </w:r>
      <w:r w:rsidR="009F5D53" w:rsidRPr="007E0A12">
        <w:rPr>
          <w:iCs/>
          <w:sz w:val="28"/>
          <w:szCs w:val="28"/>
        </w:rPr>
        <w:t>caselaw describing</w:t>
      </w:r>
      <w:r w:rsidR="008A3E88" w:rsidRPr="007E0A12">
        <w:rPr>
          <w:iCs/>
          <w:sz w:val="28"/>
          <w:szCs w:val="28"/>
        </w:rPr>
        <w:t xml:space="preserve"> circumstances in which </w:t>
      </w:r>
      <w:r w:rsidR="009F5D53" w:rsidRPr="007E0A12">
        <w:rPr>
          <w:iCs/>
          <w:sz w:val="28"/>
          <w:szCs w:val="28"/>
        </w:rPr>
        <w:t>confidentiality</w:t>
      </w:r>
      <w:r w:rsidR="008A3E88" w:rsidRPr="007E0A12">
        <w:rPr>
          <w:iCs/>
          <w:sz w:val="28"/>
          <w:szCs w:val="28"/>
        </w:rPr>
        <w:t xml:space="preserve"> may not be imposed.</w:t>
      </w:r>
    </w:p>
    <w:p w14:paraId="1E03D43E" w14:textId="77777777" w:rsidR="00964A83" w:rsidRPr="007E0A12" w:rsidRDefault="00964A83" w:rsidP="007E0A12">
      <w:pPr>
        <w:pStyle w:val="ListParagraph"/>
        <w:ind w:left="0"/>
        <w:rPr>
          <w:b/>
          <w:iCs/>
          <w:sz w:val="28"/>
          <w:szCs w:val="28"/>
        </w:rPr>
      </w:pPr>
    </w:p>
    <w:p w14:paraId="13F205D3" w14:textId="77777777" w:rsidR="00627270" w:rsidRPr="008A3E88" w:rsidRDefault="00627270" w:rsidP="008A3E88">
      <w:pPr>
        <w:pStyle w:val="ListParagraph"/>
        <w:ind w:left="90"/>
        <w:rPr>
          <w:iCs/>
          <w:sz w:val="28"/>
          <w:szCs w:val="28"/>
        </w:rPr>
      </w:pPr>
      <w:r w:rsidRPr="008A3E88">
        <w:rPr>
          <w:iCs/>
          <w:sz w:val="28"/>
          <w:szCs w:val="28"/>
        </w:rPr>
        <w:t xml:space="preserve">In </w:t>
      </w:r>
      <w:r w:rsidRPr="008A3E88">
        <w:rPr>
          <w:i/>
          <w:iCs/>
          <w:sz w:val="28"/>
          <w:szCs w:val="28"/>
        </w:rPr>
        <w:t xml:space="preserve">Galleon Syndicate Corp. v. Pan Atl. Group. </w:t>
      </w:r>
      <w:r w:rsidRPr="008A3E88">
        <w:rPr>
          <w:iCs/>
          <w:sz w:val="28"/>
          <w:szCs w:val="28"/>
        </w:rPr>
        <w:t xml:space="preserve">637 N.Y.S. 2d 104 (S.C. App. </w:t>
      </w:r>
      <w:proofErr w:type="spellStart"/>
      <w:r w:rsidRPr="008A3E88">
        <w:rPr>
          <w:iCs/>
          <w:sz w:val="28"/>
          <w:szCs w:val="28"/>
        </w:rPr>
        <w:t>Div</w:t>
      </w:r>
      <w:proofErr w:type="spellEnd"/>
      <w:r w:rsidRPr="008A3E88">
        <w:rPr>
          <w:iCs/>
          <w:sz w:val="28"/>
          <w:szCs w:val="28"/>
        </w:rPr>
        <w:t xml:space="preserve"> (1996), a party to one dispute sought to discover documents produced in a separate arbitration in which no confidentiality was applicable.  The court rejected the argument that the documents should be confidential:</w:t>
      </w:r>
    </w:p>
    <w:p w14:paraId="46D62513" w14:textId="77777777" w:rsidR="00627270" w:rsidRDefault="00627270" w:rsidP="005F5905">
      <w:pPr>
        <w:pStyle w:val="ListParagraph"/>
        <w:ind w:left="90"/>
        <w:rPr>
          <w:iCs/>
          <w:sz w:val="28"/>
          <w:szCs w:val="28"/>
        </w:rPr>
      </w:pPr>
    </w:p>
    <w:p w14:paraId="2059374D" w14:textId="77777777" w:rsidR="00627270" w:rsidRDefault="00627270" w:rsidP="00627270">
      <w:pPr>
        <w:pStyle w:val="ListParagraph"/>
        <w:ind w:left="1350" w:right="1350"/>
        <w:rPr>
          <w:iCs/>
          <w:sz w:val="28"/>
          <w:szCs w:val="28"/>
        </w:rPr>
      </w:pPr>
      <w:r>
        <w:rPr>
          <w:iCs/>
          <w:sz w:val="28"/>
          <w:szCs w:val="28"/>
        </w:rPr>
        <w:lastRenderedPageBreak/>
        <w:t>There is no confidentiality privilege precluding disclosu</w:t>
      </w:r>
      <w:r w:rsidR="001B76C9">
        <w:rPr>
          <w:iCs/>
          <w:sz w:val="28"/>
          <w:szCs w:val="28"/>
        </w:rPr>
        <w:t>re of the material requested as the parties to the arbitration proceeding governed by the Rules of the American Arbitration Association are, in the absence of a confidentiality provision, not prohibited from disclosing documents generated or exchanged during the arbitration and since evidentiary material at an arbitration proceeding is not immune fro</w:t>
      </w:r>
      <w:r w:rsidR="00AA5484">
        <w:rPr>
          <w:iCs/>
          <w:sz w:val="28"/>
          <w:szCs w:val="28"/>
        </w:rPr>
        <w:t>m disclosure</w:t>
      </w:r>
      <w:r w:rsidR="001B76C9">
        <w:rPr>
          <w:iCs/>
          <w:sz w:val="28"/>
          <w:szCs w:val="28"/>
        </w:rPr>
        <w:t>.</w:t>
      </w:r>
      <w:r w:rsidR="001B76C9">
        <w:rPr>
          <w:rStyle w:val="EndnoteReference"/>
          <w:iCs/>
          <w:sz w:val="28"/>
          <w:szCs w:val="28"/>
        </w:rPr>
        <w:endnoteReference w:id="6"/>
      </w:r>
    </w:p>
    <w:p w14:paraId="19AB3FF2" w14:textId="77777777" w:rsidR="007E0A12" w:rsidRDefault="007E0A12" w:rsidP="00627270">
      <w:pPr>
        <w:pStyle w:val="ListParagraph"/>
        <w:ind w:left="1350" w:right="1350"/>
        <w:rPr>
          <w:iCs/>
          <w:sz w:val="28"/>
          <w:szCs w:val="28"/>
        </w:rPr>
      </w:pPr>
    </w:p>
    <w:p w14:paraId="59C0D884" w14:textId="77777777" w:rsidR="00060171" w:rsidRDefault="00060171" w:rsidP="00060171">
      <w:pPr>
        <w:pStyle w:val="ListParagraph"/>
        <w:tabs>
          <w:tab w:val="left" w:pos="8730"/>
          <w:tab w:val="left" w:pos="8820"/>
        </w:tabs>
        <w:ind w:left="0"/>
        <w:rPr>
          <w:iCs/>
          <w:sz w:val="28"/>
          <w:szCs w:val="28"/>
        </w:rPr>
      </w:pPr>
      <w:r>
        <w:rPr>
          <w:iCs/>
          <w:sz w:val="28"/>
          <w:szCs w:val="28"/>
        </w:rPr>
        <w:t xml:space="preserve">A bus/pedestrian collision was the backdrop for </w:t>
      </w:r>
      <w:r>
        <w:rPr>
          <w:i/>
          <w:iCs/>
          <w:sz w:val="28"/>
          <w:szCs w:val="28"/>
        </w:rPr>
        <w:t>Scott v. Metropolitan Transp. Auth.</w:t>
      </w:r>
      <w:r>
        <w:rPr>
          <w:iCs/>
          <w:sz w:val="28"/>
          <w:szCs w:val="28"/>
        </w:rPr>
        <w:t xml:space="preserve">, 10 Misc. 1058 </w:t>
      </w:r>
      <w:r w:rsidR="00DE4E0C">
        <w:rPr>
          <w:iCs/>
          <w:sz w:val="28"/>
          <w:szCs w:val="28"/>
        </w:rPr>
        <w:t xml:space="preserve">3d </w:t>
      </w:r>
      <w:r>
        <w:rPr>
          <w:iCs/>
          <w:sz w:val="28"/>
          <w:szCs w:val="28"/>
        </w:rPr>
        <w:t xml:space="preserve">(A) (S.C.N.Y. 2005).  Injured parties sought to obtain documents from </w:t>
      </w:r>
      <w:proofErr w:type="gramStart"/>
      <w:r>
        <w:rPr>
          <w:iCs/>
          <w:sz w:val="28"/>
          <w:szCs w:val="28"/>
        </w:rPr>
        <w:t>an employment</w:t>
      </w:r>
      <w:proofErr w:type="gramEnd"/>
      <w:r>
        <w:rPr>
          <w:iCs/>
          <w:sz w:val="28"/>
          <w:szCs w:val="28"/>
        </w:rPr>
        <w:t xml:space="preserve"> arbitration with </w:t>
      </w:r>
      <w:r w:rsidR="00964A83">
        <w:rPr>
          <w:iCs/>
          <w:sz w:val="28"/>
          <w:szCs w:val="28"/>
        </w:rPr>
        <w:t xml:space="preserve">the </w:t>
      </w:r>
      <w:r>
        <w:rPr>
          <w:iCs/>
          <w:sz w:val="28"/>
          <w:szCs w:val="28"/>
        </w:rPr>
        <w:t>bus driver.  The court ruled that since there was no agreement that the arbitration would be confidential, documents from that proceeding could be discovered.</w:t>
      </w:r>
    </w:p>
    <w:p w14:paraId="563F233B" w14:textId="77777777" w:rsidR="004B1E52" w:rsidRDefault="004B1E52" w:rsidP="00060171">
      <w:pPr>
        <w:pStyle w:val="ListParagraph"/>
        <w:tabs>
          <w:tab w:val="left" w:pos="8730"/>
          <w:tab w:val="left" w:pos="8820"/>
        </w:tabs>
        <w:ind w:left="0"/>
        <w:rPr>
          <w:iCs/>
          <w:sz w:val="28"/>
          <w:szCs w:val="28"/>
        </w:rPr>
      </w:pPr>
    </w:p>
    <w:p w14:paraId="57430AEC" w14:textId="1ED0F869" w:rsidR="007E0A12" w:rsidRPr="00134651" w:rsidRDefault="00134651" w:rsidP="00060171">
      <w:pPr>
        <w:pStyle w:val="ListParagraph"/>
        <w:tabs>
          <w:tab w:val="left" w:pos="8730"/>
          <w:tab w:val="left" w:pos="8820"/>
        </w:tabs>
        <w:ind w:left="0"/>
        <w:rPr>
          <w:iCs/>
          <w:sz w:val="28"/>
          <w:szCs w:val="28"/>
        </w:rPr>
      </w:pPr>
      <w:r>
        <w:rPr>
          <w:i/>
          <w:iCs/>
          <w:sz w:val="28"/>
          <w:szCs w:val="28"/>
        </w:rPr>
        <w:t>City of Newark v. Law Dep’t of N.Y.</w:t>
      </w:r>
      <w:r>
        <w:rPr>
          <w:iCs/>
          <w:sz w:val="28"/>
          <w:szCs w:val="28"/>
        </w:rPr>
        <w:t>, 760 N.Y.S. 2d 431</w:t>
      </w:r>
      <w:r w:rsidR="00DE4E0C">
        <w:rPr>
          <w:iCs/>
          <w:sz w:val="28"/>
          <w:szCs w:val="28"/>
        </w:rPr>
        <w:t xml:space="preserve"> (S.C. App. Div. 2003)</w:t>
      </w:r>
      <w:r>
        <w:rPr>
          <w:iCs/>
          <w:sz w:val="28"/>
          <w:szCs w:val="28"/>
        </w:rPr>
        <w:t xml:space="preserve"> involved two arbitrat</w:t>
      </w:r>
      <w:r w:rsidR="008B69A8">
        <w:rPr>
          <w:iCs/>
          <w:sz w:val="28"/>
          <w:szCs w:val="28"/>
        </w:rPr>
        <w:t xml:space="preserve">ions, one in Newark and one in </w:t>
      </w:r>
      <w:r>
        <w:rPr>
          <w:iCs/>
          <w:sz w:val="28"/>
          <w:szCs w:val="28"/>
        </w:rPr>
        <w:t xml:space="preserve">New York. </w:t>
      </w:r>
      <w:r w:rsidR="008B69A8">
        <w:rPr>
          <w:iCs/>
          <w:sz w:val="28"/>
          <w:szCs w:val="28"/>
        </w:rPr>
        <w:t xml:space="preserve"> The New York panel issued a confidentiality order and the Ne</w:t>
      </w:r>
      <w:r w:rsidR="00964A83">
        <w:rPr>
          <w:iCs/>
          <w:sz w:val="28"/>
          <w:szCs w:val="28"/>
        </w:rPr>
        <w:t>wark panel deferred to it.  A</w:t>
      </w:r>
      <w:r w:rsidR="008B69A8">
        <w:rPr>
          <w:iCs/>
          <w:sz w:val="28"/>
          <w:szCs w:val="28"/>
        </w:rPr>
        <w:t xml:space="preserve"> party to the Newark arbitration sought the documents th</w:t>
      </w:r>
      <w:r w:rsidR="00964A83">
        <w:rPr>
          <w:iCs/>
          <w:sz w:val="28"/>
          <w:szCs w:val="28"/>
        </w:rPr>
        <w:t xml:space="preserve">rough a Freedom of Information </w:t>
      </w:r>
      <w:r w:rsidR="008B69A8">
        <w:rPr>
          <w:iCs/>
          <w:sz w:val="28"/>
          <w:szCs w:val="28"/>
        </w:rPr>
        <w:t xml:space="preserve">request since the City of New York was a party to the New York arbitration.  The court allowed the discovery ruling that a confidentiality order of an arbitration panel did not </w:t>
      </w:r>
      <w:r w:rsidR="007436C7">
        <w:rPr>
          <w:iCs/>
          <w:sz w:val="28"/>
          <w:szCs w:val="28"/>
        </w:rPr>
        <w:t>supersede</w:t>
      </w:r>
      <w:r w:rsidR="008B69A8">
        <w:rPr>
          <w:iCs/>
          <w:sz w:val="28"/>
          <w:szCs w:val="28"/>
        </w:rPr>
        <w:t xml:space="preserve"> rights un</w:t>
      </w:r>
      <w:r w:rsidR="00964A83">
        <w:rPr>
          <w:iCs/>
          <w:sz w:val="28"/>
          <w:szCs w:val="28"/>
        </w:rPr>
        <w:t>der the Freedom of Information l</w:t>
      </w:r>
      <w:r w:rsidR="008B69A8">
        <w:rPr>
          <w:iCs/>
          <w:sz w:val="28"/>
          <w:szCs w:val="28"/>
        </w:rPr>
        <w:t xml:space="preserve">aw. </w:t>
      </w:r>
    </w:p>
    <w:p w14:paraId="4206D826" w14:textId="77777777" w:rsidR="00B529E5" w:rsidRDefault="008A3E88" w:rsidP="008A3E88">
      <w:pPr>
        <w:pStyle w:val="NormalWeb"/>
        <w:numPr>
          <w:ilvl w:val="0"/>
          <w:numId w:val="2"/>
        </w:numPr>
        <w:spacing w:before="0" w:beforeAutospacing="0" w:after="0" w:afterAutospacing="0"/>
        <w:ind w:right="1440"/>
        <w:rPr>
          <w:rFonts w:asciiTheme="minorHAnsi" w:hAnsiTheme="minorHAnsi"/>
          <w:b/>
          <w:iCs/>
          <w:sz w:val="28"/>
          <w:szCs w:val="28"/>
        </w:rPr>
      </w:pPr>
      <w:r>
        <w:rPr>
          <w:rFonts w:asciiTheme="minorHAnsi" w:hAnsiTheme="minorHAnsi"/>
          <w:b/>
          <w:iCs/>
          <w:sz w:val="28"/>
          <w:szCs w:val="28"/>
        </w:rPr>
        <w:t>Comments</w:t>
      </w:r>
    </w:p>
    <w:p w14:paraId="51D683CC" w14:textId="77777777" w:rsidR="00B212DE" w:rsidRDefault="00B212DE" w:rsidP="00B212DE">
      <w:pPr>
        <w:pStyle w:val="NormalWeb"/>
        <w:spacing w:before="0" w:beforeAutospacing="0" w:after="0" w:afterAutospacing="0"/>
        <w:ind w:left="1080" w:right="1440"/>
        <w:rPr>
          <w:rFonts w:asciiTheme="minorHAnsi" w:hAnsiTheme="minorHAnsi"/>
          <w:b/>
          <w:iCs/>
          <w:sz w:val="28"/>
          <w:szCs w:val="28"/>
        </w:rPr>
      </w:pPr>
    </w:p>
    <w:p w14:paraId="1B9F1089" w14:textId="77777777" w:rsidR="00C3129D" w:rsidRDefault="00C3129D" w:rsidP="008A3E88">
      <w:pPr>
        <w:pStyle w:val="NormalWeb"/>
        <w:spacing w:before="0" w:beforeAutospacing="0" w:after="0" w:afterAutospacing="0"/>
        <w:rPr>
          <w:rFonts w:asciiTheme="minorHAnsi" w:hAnsiTheme="minorHAnsi"/>
          <w:iCs/>
          <w:sz w:val="28"/>
          <w:szCs w:val="28"/>
        </w:rPr>
      </w:pPr>
      <w:r>
        <w:rPr>
          <w:rFonts w:asciiTheme="minorHAnsi" w:hAnsiTheme="minorHAnsi"/>
          <w:iCs/>
          <w:sz w:val="28"/>
          <w:szCs w:val="28"/>
        </w:rPr>
        <w:t>While there is little caselaw on the issue of</w:t>
      </w:r>
      <w:r w:rsidR="002E692F">
        <w:rPr>
          <w:rFonts w:asciiTheme="minorHAnsi" w:hAnsiTheme="minorHAnsi"/>
          <w:iCs/>
          <w:sz w:val="28"/>
          <w:szCs w:val="28"/>
        </w:rPr>
        <w:t xml:space="preserve"> a panel’s authority to order parties to execute a </w:t>
      </w:r>
      <w:r>
        <w:rPr>
          <w:rFonts w:asciiTheme="minorHAnsi" w:hAnsiTheme="minorHAnsi"/>
          <w:iCs/>
          <w:sz w:val="28"/>
          <w:szCs w:val="28"/>
        </w:rPr>
        <w:t>hold harmless</w:t>
      </w:r>
      <w:r w:rsidR="002E692F">
        <w:rPr>
          <w:rFonts w:asciiTheme="minorHAnsi" w:hAnsiTheme="minorHAnsi"/>
          <w:iCs/>
          <w:sz w:val="28"/>
          <w:szCs w:val="28"/>
        </w:rPr>
        <w:t xml:space="preserve"> agreement</w:t>
      </w:r>
      <w:r>
        <w:rPr>
          <w:rFonts w:asciiTheme="minorHAnsi" w:hAnsiTheme="minorHAnsi"/>
          <w:iCs/>
          <w:sz w:val="28"/>
          <w:szCs w:val="28"/>
        </w:rPr>
        <w:t xml:space="preserve">, there is ample caselaw </w:t>
      </w:r>
      <w:r w:rsidR="002E692F">
        <w:rPr>
          <w:rFonts w:asciiTheme="minorHAnsi" w:hAnsiTheme="minorHAnsi"/>
          <w:iCs/>
          <w:sz w:val="28"/>
          <w:szCs w:val="28"/>
        </w:rPr>
        <w:t xml:space="preserve">recognizing </w:t>
      </w:r>
      <w:r>
        <w:rPr>
          <w:rFonts w:asciiTheme="minorHAnsi" w:hAnsiTheme="minorHAnsi"/>
          <w:iCs/>
          <w:sz w:val="28"/>
          <w:szCs w:val="28"/>
        </w:rPr>
        <w:t xml:space="preserve">common law </w:t>
      </w:r>
      <w:r w:rsidR="002E692F">
        <w:rPr>
          <w:rFonts w:asciiTheme="minorHAnsi" w:hAnsiTheme="minorHAnsi"/>
          <w:iCs/>
          <w:sz w:val="28"/>
          <w:szCs w:val="28"/>
        </w:rPr>
        <w:t xml:space="preserve">immunity and its application to </w:t>
      </w:r>
      <w:r>
        <w:rPr>
          <w:rFonts w:asciiTheme="minorHAnsi" w:hAnsiTheme="minorHAnsi"/>
          <w:iCs/>
          <w:sz w:val="28"/>
          <w:szCs w:val="28"/>
        </w:rPr>
        <w:t>arb</w:t>
      </w:r>
      <w:r w:rsidR="002E692F">
        <w:rPr>
          <w:rFonts w:asciiTheme="minorHAnsi" w:hAnsiTheme="minorHAnsi"/>
          <w:iCs/>
          <w:sz w:val="28"/>
          <w:szCs w:val="28"/>
        </w:rPr>
        <w:t>itrators</w:t>
      </w:r>
      <w:r>
        <w:rPr>
          <w:rFonts w:asciiTheme="minorHAnsi" w:hAnsiTheme="minorHAnsi"/>
          <w:iCs/>
          <w:sz w:val="28"/>
          <w:szCs w:val="28"/>
        </w:rPr>
        <w:t>.</w:t>
      </w:r>
    </w:p>
    <w:p w14:paraId="404A0C5F" w14:textId="77777777" w:rsidR="004B1E52" w:rsidRDefault="004B1E52" w:rsidP="008A3E88">
      <w:pPr>
        <w:pStyle w:val="NormalWeb"/>
        <w:spacing w:before="0" w:beforeAutospacing="0" w:after="0" w:afterAutospacing="0"/>
        <w:rPr>
          <w:rFonts w:asciiTheme="minorHAnsi" w:hAnsiTheme="minorHAnsi"/>
          <w:iCs/>
          <w:sz w:val="28"/>
          <w:szCs w:val="28"/>
        </w:rPr>
      </w:pPr>
    </w:p>
    <w:p w14:paraId="73C95F9E" w14:textId="77777777" w:rsidR="008A3E88" w:rsidRDefault="008A3E88" w:rsidP="008A3E88">
      <w:pPr>
        <w:pStyle w:val="NormalWeb"/>
        <w:spacing w:before="0" w:beforeAutospacing="0" w:after="0" w:afterAutospacing="0"/>
        <w:rPr>
          <w:rFonts w:asciiTheme="minorHAnsi" w:hAnsiTheme="minorHAnsi"/>
          <w:iCs/>
          <w:sz w:val="28"/>
          <w:szCs w:val="28"/>
        </w:rPr>
      </w:pPr>
      <w:r>
        <w:rPr>
          <w:rFonts w:asciiTheme="minorHAnsi" w:hAnsiTheme="minorHAnsi"/>
          <w:iCs/>
          <w:sz w:val="28"/>
          <w:szCs w:val="28"/>
        </w:rPr>
        <w:t xml:space="preserve">It is evident that a panel may impose </w:t>
      </w:r>
      <w:r w:rsidR="009F5D53">
        <w:rPr>
          <w:rFonts w:asciiTheme="minorHAnsi" w:hAnsiTheme="minorHAnsi"/>
          <w:iCs/>
          <w:sz w:val="28"/>
          <w:szCs w:val="28"/>
        </w:rPr>
        <w:t>confidentiality</w:t>
      </w:r>
      <w:r>
        <w:rPr>
          <w:rFonts w:asciiTheme="minorHAnsi" w:hAnsiTheme="minorHAnsi"/>
          <w:iCs/>
          <w:sz w:val="28"/>
          <w:szCs w:val="28"/>
        </w:rPr>
        <w:t xml:space="preserve"> when the arbitration is pursuant to guidelines or procedures </w:t>
      </w:r>
      <w:r w:rsidR="0034079C">
        <w:rPr>
          <w:rFonts w:asciiTheme="minorHAnsi" w:hAnsiTheme="minorHAnsi"/>
          <w:iCs/>
          <w:sz w:val="28"/>
          <w:szCs w:val="28"/>
        </w:rPr>
        <w:t xml:space="preserve">that allow the panel to do so.  The issue is when there are no such guidelines and the parties disagree on point. </w:t>
      </w:r>
    </w:p>
    <w:p w14:paraId="0F6618B4" w14:textId="77777777" w:rsidR="004B1E52" w:rsidRDefault="004B1E52" w:rsidP="008A3E88">
      <w:pPr>
        <w:pStyle w:val="NormalWeb"/>
        <w:spacing w:before="0" w:beforeAutospacing="0" w:after="0" w:afterAutospacing="0"/>
        <w:rPr>
          <w:rFonts w:asciiTheme="minorHAnsi" w:hAnsiTheme="minorHAnsi"/>
          <w:iCs/>
          <w:sz w:val="28"/>
          <w:szCs w:val="28"/>
        </w:rPr>
      </w:pPr>
    </w:p>
    <w:p w14:paraId="5ACE5EDF" w14:textId="10EA5975" w:rsidR="0068168D" w:rsidRPr="009B15D8" w:rsidRDefault="0034079C" w:rsidP="009B15D8">
      <w:pPr>
        <w:pStyle w:val="NormalWeb"/>
        <w:spacing w:before="0" w:beforeAutospacing="0" w:after="0" w:afterAutospacing="0"/>
        <w:rPr>
          <w:rFonts w:asciiTheme="minorHAnsi" w:hAnsiTheme="minorHAnsi"/>
          <w:iCs/>
          <w:sz w:val="28"/>
          <w:szCs w:val="28"/>
        </w:rPr>
      </w:pPr>
      <w:r>
        <w:rPr>
          <w:rFonts w:asciiTheme="minorHAnsi" w:hAnsiTheme="minorHAnsi"/>
          <w:iCs/>
          <w:sz w:val="28"/>
          <w:szCs w:val="28"/>
        </w:rPr>
        <w:lastRenderedPageBreak/>
        <w:t xml:space="preserve">While there seems to be no caselaw on point in </w:t>
      </w:r>
      <w:r w:rsidR="00964A83">
        <w:rPr>
          <w:rFonts w:asciiTheme="minorHAnsi" w:hAnsiTheme="minorHAnsi"/>
          <w:iCs/>
          <w:sz w:val="28"/>
          <w:szCs w:val="28"/>
        </w:rPr>
        <w:t xml:space="preserve">the lower courts, the </w:t>
      </w:r>
      <w:r>
        <w:rPr>
          <w:rFonts w:asciiTheme="minorHAnsi" w:hAnsiTheme="minorHAnsi"/>
          <w:iCs/>
          <w:sz w:val="28"/>
          <w:szCs w:val="28"/>
        </w:rPr>
        <w:t xml:space="preserve">U.S. Supreme Court’s decisions in </w:t>
      </w:r>
      <w:proofErr w:type="spellStart"/>
      <w:r>
        <w:rPr>
          <w:rFonts w:asciiTheme="minorHAnsi" w:hAnsiTheme="minorHAnsi"/>
          <w:i/>
          <w:iCs/>
          <w:sz w:val="28"/>
          <w:szCs w:val="28"/>
        </w:rPr>
        <w:t>Howsam</w:t>
      </w:r>
      <w:proofErr w:type="spellEnd"/>
      <w:r>
        <w:rPr>
          <w:rFonts w:asciiTheme="minorHAnsi" w:hAnsiTheme="minorHAnsi"/>
          <w:i/>
          <w:iCs/>
          <w:sz w:val="28"/>
          <w:szCs w:val="28"/>
        </w:rPr>
        <w:t xml:space="preserve"> and Green Tree </w:t>
      </w:r>
      <w:r w:rsidR="002E692F">
        <w:rPr>
          <w:rFonts w:asciiTheme="minorHAnsi" w:hAnsiTheme="minorHAnsi"/>
          <w:iCs/>
          <w:sz w:val="28"/>
          <w:szCs w:val="28"/>
        </w:rPr>
        <w:t xml:space="preserve">hold </w:t>
      </w:r>
      <w:r>
        <w:rPr>
          <w:rFonts w:asciiTheme="minorHAnsi" w:hAnsiTheme="minorHAnsi"/>
          <w:iCs/>
          <w:sz w:val="28"/>
          <w:szCs w:val="28"/>
        </w:rPr>
        <w:t>that the courts</w:t>
      </w:r>
      <w:r w:rsidR="002E692F">
        <w:rPr>
          <w:rFonts w:asciiTheme="minorHAnsi" w:hAnsiTheme="minorHAnsi"/>
          <w:iCs/>
          <w:sz w:val="28"/>
          <w:szCs w:val="28"/>
        </w:rPr>
        <w:t xml:space="preserve"> </w:t>
      </w:r>
      <w:r>
        <w:rPr>
          <w:rFonts w:asciiTheme="minorHAnsi" w:hAnsiTheme="minorHAnsi"/>
          <w:iCs/>
          <w:sz w:val="28"/>
          <w:szCs w:val="28"/>
        </w:rPr>
        <w:t xml:space="preserve">retain </w:t>
      </w:r>
      <w:r w:rsidR="00964A83">
        <w:rPr>
          <w:rFonts w:asciiTheme="minorHAnsi" w:hAnsiTheme="minorHAnsi"/>
          <w:iCs/>
          <w:sz w:val="28"/>
          <w:szCs w:val="28"/>
        </w:rPr>
        <w:t xml:space="preserve">the </w:t>
      </w:r>
      <w:r>
        <w:rPr>
          <w:rFonts w:asciiTheme="minorHAnsi" w:hAnsiTheme="minorHAnsi"/>
          <w:iCs/>
          <w:sz w:val="28"/>
          <w:szCs w:val="28"/>
        </w:rPr>
        <w:t xml:space="preserve">authority </w:t>
      </w:r>
      <w:r w:rsidR="00964A83">
        <w:rPr>
          <w:rFonts w:asciiTheme="minorHAnsi" w:hAnsiTheme="minorHAnsi"/>
          <w:iCs/>
          <w:sz w:val="28"/>
          <w:szCs w:val="28"/>
        </w:rPr>
        <w:t xml:space="preserve">to determine </w:t>
      </w:r>
      <w:r>
        <w:rPr>
          <w:rFonts w:asciiTheme="minorHAnsi" w:hAnsiTheme="minorHAnsi"/>
          <w:iCs/>
          <w:sz w:val="28"/>
          <w:szCs w:val="28"/>
        </w:rPr>
        <w:t xml:space="preserve">the validity of the arbitration clause and </w:t>
      </w:r>
      <w:r w:rsidR="00964A83">
        <w:rPr>
          <w:rFonts w:asciiTheme="minorHAnsi" w:hAnsiTheme="minorHAnsi"/>
          <w:iCs/>
          <w:sz w:val="28"/>
          <w:szCs w:val="28"/>
        </w:rPr>
        <w:t xml:space="preserve">its </w:t>
      </w:r>
      <w:r>
        <w:rPr>
          <w:rFonts w:asciiTheme="minorHAnsi" w:hAnsiTheme="minorHAnsi"/>
          <w:iCs/>
          <w:sz w:val="28"/>
          <w:szCs w:val="28"/>
        </w:rPr>
        <w:t>applicat</w:t>
      </w:r>
      <w:r w:rsidR="00D73448">
        <w:rPr>
          <w:rFonts w:asciiTheme="minorHAnsi" w:hAnsiTheme="minorHAnsi"/>
          <w:iCs/>
          <w:sz w:val="28"/>
          <w:szCs w:val="28"/>
        </w:rPr>
        <w:t>ion</w:t>
      </w:r>
      <w:r w:rsidR="002E692F">
        <w:rPr>
          <w:rFonts w:asciiTheme="minorHAnsi" w:hAnsiTheme="minorHAnsi"/>
          <w:iCs/>
          <w:sz w:val="28"/>
          <w:szCs w:val="28"/>
        </w:rPr>
        <w:t xml:space="preserve"> to the dispute in question, while the </w:t>
      </w:r>
      <w:r w:rsidR="00D73448">
        <w:rPr>
          <w:rFonts w:asciiTheme="minorHAnsi" w:hAnsiTheme="minorHAnsi"/>
          <w:iCs/>
          <w:sz w:val="28"/>
          <w:szCs w:val="28"/>
        </w:rPr>
        <w:t>issues of contract interpretation and procedure</w:t>
      </w:r>
      <w:r w:rsidR="002E692F">
        <w:rPr>
          <w:rFonts w:asciiTheme="minorHAnsi" w:hAnsiTheme="minorHAnsi"/>
          <w:iCs/>
          <w:sz w:val="28"/>
          <w:szCs w:val="28"/>
        </w:rPr>
        <w:t xml:space="preserve"> are within the province of the arbitration panel.  Confidentiality</w:t>
      </w:r>
      <w:r w:rsidR="00F615E5">
        <w:rPr>
          <w:rFonts w:asciiTheme="minorHAnsi" w:hAnsiTheme="minorHAnsi"/>
          <w:iCs/>
          <w:sz w:val="28"/>
          <w:szCs w:val="28"/>
        </w:rPr>
        <w:t xml:space="preserve"> and a pane hold harmless are</w:t>
      </w:r>
      <w:r w:rsidR="00D73448">
        <w:rPr>
          <w:rFonts w:asciiTheme="minorHAnsi" w:hAnsiTheme="minorHAnsi"/>
          <w:iCs/>
          <w:sz w:val="28"/>
          <w:szCs w:val="28"/>
        </w:rPr>
        <w:t xml:space="preserve"> </w:t>
      </w:r>
      <w:proofErr w:type="gramStart"/>
      <w:r w:rsidR="00C3129D">
        <w:rPr>
          <w:rFonts w:asciiTheme="minorHAnsi" w:hAnsiTheme="minorHAnsi"/>
          <w:iCs/>
          <w:sz w:val="28"/>
          <w:szCs w:val="28"/>
        </w:rPr>
        <w:t xml:space="preserve">a traditional, </w:t>
      </w:r>
      <w:r w:rsidR="00D73448">
        <w:rPr>
          <w:rFonts w:asciiTheme="minorHAnsi" w:hAnsiTheme="minorHAnsi"/>
          <w:iCs/>
          <w:sz w:val="28"/>
          <w:szCs w:val="28"/>
        </w:rPr>
        <w:t>procedural method</w:t>
      </w:r>
      <w:r w:rsidR="00F615E5">
        <w:rPr>
          <w:rFonts w:asciiTheme="minorHAnsi" w:hAnsiTheme="minorHAnsi"/>
          <w:iCs/>
          <w:sz w:val="28"/>
          <w:szCs w:val="28"/>
        </w:rPr>
        <w:t>s</w:t>
      </w:r>
      <w:proofErr w:type="gramEnd"/>
      <w:r w:rsidR="00D73448">
        <w:rPr>
          <w:rFonts w:asciiTheme="minorHAnsi" w:hAnsiTheme="minorHAnsi"/>
          <w:iCs/>
          <w:sz w:val="28"/>
          <w:szCs w:val="28"/>
        </w:rPr>
        <w:t xml:space="preserve"> to support private </w:t>
      </w:r>
      <w:r w:rsidR="00C3129D">
        <w:rPr>
          <w:rFonts w:asciiTheme="minorHAnsi" w:hAnsiTheme="minorHAnsi"/>
          <w:iCs/>
          <w:sz w:val="28"/>
          <w:szCs w:val="28"/>
        </w:rPr>
        <w:t>resolution of disputes</w:t>
      </w:r>
      <w:r w:rsidR="002E692F">
        <w:rPr>
          <w:rFonts w:asciiTheme="minorHAnsi" w:hAnsiTheme="minorHAnsi"/>
          <w:iCs/>
          <w:sz w:val="28"/>
          <w:szCs w:val="28"/>
        </w:rPr>
        <w:t xml:space="preserve"> and should be a matter for the arbitration panel to decide</w:t>
      </w:r>
      <w:r w:rsidR="00C3129D">
        <w:rPr>
          <w:rFonts w:asciiTheme="minorHAnsi" w:hAnsiTheme="minorHAnsi"/>
          <w:iCs/>
          <w:sz w:val="28"/>
          <w:szCs w:val="28"/>
        </w:rPr>
        <w:t>.</w:t>
      </w:r>
    </w:p>
    <w:p w14:paraId="3A1A74AB" w14:textId="77777777" w:rsidR="0044468F" w:rsidRDefault="0044468F" w:rsidP="00966BF6">
      <w:pPr>
        <w:rPr>
          <w:b/>
          <w:sz w:val="28"/>
          <w:szCs w:val="28"/>
        </w:rPr>
      </w:pPr>
    </w:p>
    <w:p w14:paraId="23FA8DED" w14:textId="77777777" w:rsidR="009B15D8" w:rsidRPr="009B15D8" w:rsidRDefault="009B15D8" w:rsidP="00B212DE">
      <w:pPr>
        <w:jc w:val="center"/>
        <w:rPr>
          <w:sz w:val="28"/>
          <w:szCs w:val="28"/>
        </w:rPr>
      </w:pPr>
      <w:bookmarkStart w:id="0" w:name="_GoBack"/>
      <w:bookmarkEnd w:id="0"/>
      <w:r>
        <w:rPr>
          <w:sz w:val="28"/>
          <w:szCs w:val="28"/>
        </w:rPr>
        <w:t>ENDNOTES</w:t>
      </w:r>
    </w:p>
    <w:sectPr w:rsidR="009B15D8" w:rsidRPr="009B15D8" w:rsidSect="00B529E5">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8EBC6" w14:textId="77777777" w:rsidR="004011A6" w:rsidRDefault="004011A6" w:rsidP="002B5C49">
      <w:pPr>
        <w:spacing w:after="0" w:line="240" w:lineRule="auto"/>
      </w:pPr>
      <w:r>
        <w:separator/>
      </w:r>
    </w:p>
  </w:endnote>
  <w:endnote w:type="continuationSeparator" w:id="0">
    <w:p w14:paraId="46237F0B" w14:textId="77777777" w:rsidR="004011A6" w:rsidRDefault="004011A6" w:rsidP="002B5C49">
      <w:pPr>
        <w:spacing w:after="0" w:line="240" w:lineRule="auto"/>
      </w:pPr>
      <w:r>
        <w:continuationSeparator/>
      </w:r>
    </w:p>
  </w:endnote>
  <w:endnote w:id="1">
    <w:p w14:paraId="61822F6B" w14:textId="77777777" w:rsidR="004011A6" w:rsidRDefault="004011A6">
      <w:pPr>
        <w:pStyle w:val="EndnoteText"/>
      </w:pPr>
      <w:r>
        <w:rPr>
          <w:rStyle w:val="EndnoteReference"/>
        </w:rPr>
        <w:endnoteRef/>
      </w:r>
      <w:r>
        <w:t xml:space="preserve">    </w:t>
      </w:r>
      <w:proofErr w:type="gramStart"/>
      <w:r>
        <w:t>537 U.S. 79 at 84.</w:t>
      </w:r>
      <w:proofErr w:type="gramEnd"/>
      <w:r>
        <w:t xml:space="preserve"> Internal citations omitted, emphasis in the original.</w:t>
      </w:r>
    </w:p>
  </w:endnote>
  <w:endnote w:id="2">
    <w:p w14:paraId="5A621002" w14:textId="77777777" w:rsidR="004011A6" w:rsidRPr="0008054B" w:rsidRDefault="004011A6">
      <w:pPr>
        <w:pStyle w:val="EndnoteText"/>
      </w:pPr>
      <w:r>
        <w:rPr>
          <w:rStyle w:val="EndnoteReference"/>
        </w:rPr>
        <w:endnoteRef/>
      </w:r>
      <w:r>
        <w:t xml:space="preserve">    </w:t>
      </w:r>
      <w:proofErr w:type="gramStart"/>
      <w:r>
        <w:rPr>
          <w:i/>
        </w:rPr>
        <w:t>Id.</w:t>
      </w:r>
      <w:r>
        <w:t xml:space="preserve"> at 85.</w:t>
      </w:r>
      <w:proofErr w:type="gramEnd"/>
    </w:p>
  </w:endnote>
  <w:endnote w:id="3">
    <w:p w14:paraId="7F0D0B64" w14:textId="77777777" w:rsidR="004011A6" w:rsidRDefault="004011A6">
      <w:pPr>
        <w:pStyle w:val="EndnoteText"/>
      </w:pPr>
      <w:r>
        <w:rPr>
          <w:rStyle w:val="EndnoteReference"/>
        </w:rPr>
        <w:endnoteRef/>
      </w:r>
      <w:r>
        <w:t xml:space="preserve">    </w:t>
      </w:r>
      <w:proofErr w:type="gramStart"/>
      <w:r>
        <w:t>539 U.S. 444 at 452.</w:t>
      </w:r>
      <w:proofErr w:type="gramEnd"/>
    </w:p>
  </w:endnote>
  <w:endnote w:id="4">
    <w:p w14:paraId="327B0665" w14:textId="77777777" w:rsidR="004011A6" w:rsidRDefault="004011A6">
      <w:pPr>
        <w:pStyle w:val="EndnoteText"/>
      </w:pPr>
      <w:r>
        <w:rPr>
          <w:rStyle w:val="EndnoteReference"/>
        </w:rPr>
        <w:endnoteRef/>
      </w:r>
      <w:r>
        <w:t xml:space="preserve">    </w:t>
      </w:r>
      <w:proofErr w:type="gramStart"/>
      <w:r>
        <w:t>365 B. R. 863 at 866-7.</w:t>
      </w:r>
      <w:proofErr w:type="gramEnd"/>
    </w:p>
  </w:endnote>
  <w:endnote w:id="5">
    <w:p w14:paraId="34B12F54" w14:textId="77777777" w:rsidR="004011A6" w:rsidRDefault="004011A6">
      <w:pPr>
        <w:pStyle w:val="EndnoteText"/>
      </w:pPr>
      <w:r>
        <w:rPr>
          <w:rStyle w:val="EndnoteReference"/>
        </w:rPr>
        <w:endnoteRef/>
      </w:r>
      <w:r>
        <w:t xml:space="preserve">    </w:t>
      </w:r>
      <w:proofErr w:type="gramStart"/>
      <w:r>
        <w:t>817 N.Y.S. 2d 223 at 224.</w:t>
      </w:r>
      <w:proofErr w:type="gramEnd"/>
      <w:r>
        <w:t xml:space="preserve"> Internal citations omitted.</w:t>
      </w:r>
    </w:p>
  </w:endnote>
  <w:endnote w:id="6">
    <w:p w14:paraId="0C716CCE" w14:textId="77777777" w:rsidR="004011A6" w:rsidRDefault="004011A6">
      <w:pPr>
        <w:pStyle w:val="EndnoteText"/>
      </w:pPr>
      <w:r>
        <w:rPr>
          <w:rStyle w:val="EndnoteReference"/>
        </w:rPr>
        <w:endnoteRef/>
      </w:r>
      <w:r>
        <w:t xml:space="preserve">    </w:t>
      </w:r>
      <w:proofErr w:type="gramStart"/>
      <w:r>
        <w:t>637 N.Y.S. 2d 104 at 105.</w:t>
      </w:r>
      <w:proofErr w:type="gramEnd"/>
      <w:r>
        <w:t xml:space="preserve"> Internal citations omitted.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393B7" w14:textId="77777777" w:rsidR="004011A6" w:rsidRDefault="004011A6" w:rsidP="002B5C49">
      <w:pPr>
        <w:spacing w:after="0" w:line="240" w:lineRule="auto"/>
      </w:pPr>
      <w:r>
        <w:separator/>
      </w:r>
    </w:p>
  </w:footnote>
  <w:footnote w:type="continuationSeparator" w:id="0">
    <w:p w14:paraId="4D717603" w14:textId="77777777" w:rsidR="004011A6" w:rsidRDefault="004011A6" w:rsidP="002B5C4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578FB"/>
    <w:multiLevelType w:val="hybridMultilevel"/>
    <w:tmpl w:val="10A88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2D5D64"/>
    <w:multiLevelType w:val="hybridMultilevel"/>
    <w:tmpl w:val="E168DCF4"/>
    <w:lvl w:ilvl="0" w:tplc="FED8549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570819"/>
    <w:multiLevelType w:val="hybridMultilevel"/>
    <w:tmpl w:val="0498B7AE"/>
    <w:lvl w:ilvl="0" w:tplc="05EA2AC4">
      <w:start w:val="1"/>
      <w:numFmt w:val="upperLetter"/>
      <w:lvlText w:val="%1."/>
      <w:lvlJc w:val="left"/>
      <w:pPr>
        <w:ind w:left="1840" w:hanging="44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3">
    <w:nsid w:val="62FF0F76"/>
    <w:multiLevelType w:val="hybridMultilevel"/>
    <w:tmpl w:val="B3DE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E4"/>
    <w:rsid w:val="00045194"/>
    <w:rsid w:val="00060171"/>
    <w:rsid w:val="0008054B"/>
    <w:rsid w:val="000966BE"/>
    <w:rsid w:val="000D6ED3"/>
    <w:rsid w:val="00100F36"/>
    <w:rsid w:val="00134651"/>
    <w:rsid w:val="00192FE4"/>
    <w:rsid w:val="001B76C9"/>
    <w:rsid w:val="00241C93"/>
    <w:rsid w:val="002932E7"/>
    <w:rsid w:val="002B5C49"/>
    <w:rsid w:val="002B7C39"/>
    <w:rsid w:val="002C3A79"/>
    <w:rsid w:val="002D4E31"/>
    <w:rsid w:val="002E692F"/>
    <w:rsid w:val="0030503D"/>
    <w:rsid w:val="003245E7"/>
    <w:rsid w:val="0034079C"/>
    <w:rsid w:val="003641D6"/>
    <w:rsid w:val="00395FB4"/>
    <w:rsid w:val="004011A6"/>
    <w:rsid w:val="0044468F"/>
    <w:rsid w:val="004662CB"/>
    <w:rsid w:val="004B00E7"/>
    <w:rsid w:val="004B1E52"/>
    <w:rsid w:val="004B2192"/>
    <w:rsid w:val="004B4F33"/>
    <w:rsid w:val="004D508E"/>
    <w:rsid w:val="004D6986"/>
    <w:rsid w:val="004E1A30"/>
    <w:rsid w:val="004F70B9"/>
    <w:rsid w:val="005033A3"/>
    <w:rsid w:val="00505915"/>
    <w:rsid w:val="00515A06"/>
    <w:rsid w:val="00527516"/>
    <w:rsid w:val="005A797D"/>
    <w:rsid w:val="005B1467"/>
    <w:rsid w:val="005D6C7B"/>
    <w:rsid w:val="005E445C"/>
    <w:rsid w:val="005F5905"/>
    <w:rsid w:val="00602B8A"/>
    <w:rsid w:val="00627270"/>
    <w:rsid w:val="0063758C"/>
    <w:rsid w:val="00643490"/>
    <w:rsid w:val="006760DA"/>
    <w:rsid w:val="0068168D"/>
    <w:rsid w:val="006940F6"/>
    <w:rsid w:val="0069644A"/>
    <w:rsid w:val="006B77F3"/>
    <w:rsid w:val="006C741C"/>
    <w:rsid w:val="006D7008"/>
    <w:rsid w:val="007104E3"/>
    <w:rsid w:val="007436C7"/>
    <w:rsid w:val="00754EDF"/>
    <w:rsid w:val="00772582"/>
    <w:rsid w:val="00786DB5"/>
    <w:rsid w:val="007C4B0E"/>
    <w:rsid w:val="007E0A12"/>
    <w:rsid w:val="00835F4E"/>
    <w:rsid w:val="008365D9"/>
    <w:rsid w:val="008705E2"/>
    <w:rsid w:val="0087292C"/>
    <w:rsid w:val="008A3E88"/>
    <w:rsid w:val="008B69A8"/>
    <w:rsid w:val="0092173F"/>
    <w:rsid w:val="00935F28"/>
    <w:rsid w:val="0096365D"/>
    <w:rsid w:val="00964A83"/>
    <w:rsid w:val="00966BF6"/>
    <w:rsid w:val="009735EE"/>
    <w:rsid w:val="009B15D8"/>
    <w:rsid w:val="009F5D53"/>
    <w:rsid w:val="00A412CC"/>
    <w:rsid w:val="00A7226B"/>
    <w:rsid w:val="00A835A5"/>
    <w:rsid w:val="00A83D6C"/>
    <w:rsid w:val="00AA1259"/>
    <w:rsid w:val="00AA5484"/>
    <w:rsid w:val="00AF607F"/>
    <w:rsid w:val="00B212DE"/>
    <w:rsid w:val="00B33196"/>
    <w:rsid w:val="00B529E5"/>
    <w:rsid w:val="00B67C39"/>
    <w:rsid w:val="00BB329F"/>
    <w:rsid w:val="00C03592"/>
    <w:rsid w:val="00C23B76"/>
    <w:rsid w:val="00C3129D"/>
    <w:rsid w:val="00C55330"/>
    <w:rsid w:val="00C95B6C"/>
    <w:rsid w:val="00CA5F9D"/>
    <w:rsid w:val="00CB65E2"/>
    <w:rsid w:val="00CB7153"/>
    <w:rsid w:val="00D00FAD"/>
    <w:rsid w:val="00D027C6"/>
    <w:rsid w:val="00D072DD"/>
    <w:rsid w:val="00D15A0D"/>
    <w:rsid w:val="00D221F8"/>
    <w:rsid w:val="00D64856"/>
    <w:rsid w:val="00D73448"/>
    <w:rsid w:val="00D94633"/>
    <w:rsid w:val="00DE4E0C"/>
    <w:rsid w:val="00E30490"/>
    <w:rsid w:val="00E35597"/>
    <w:rsid w:val="00E72661"/>
    <w:rsid w:val="00E731B8"/>
    <w:rsid w:val="00ED01EB"/>
    <w:rsid w:val="00ED69D3"/>
    <w:rsid w:val="00EE0023"/>
    <w:rsid w:val="00EF3CEE"/>
    <w:rsid w:val="00F1027A"/>
    <w:rsid w:val="00F45018"/>
    <w:rsid w:val="00F5636A"/>
    <w:rsid w:val="00F615E5"/>
    <w:rsid w:val="00F82684"/>
    <w:rsid w:val="00FC4D8F"/>
    <w:rsid w:val="00FD1530"/>
    <w:rsid w:val="00FD7586"/>
    <w:rsid w:val="00FF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4A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29F"/>
    <w:pPr>
      <w:ind w:left="720"/>
      <w:contextualSpacing/>
    </w:pPr>
  </w:style>
  <w:style w:type="paragraph" w:styleId="NormalWeb">
    <w:name w:val="Normal (Web)"/>
    <w:basedOn w:val="Normal"/>
    <w:uiPriority w:val="99"/>
    <w:unhideWhenUsed/>
    <w:rsid w:val="0044468F"/>
    <w:pPr>
      <w:spacing w:before="100" w:beforeAutospacing="1" w:after="100" w:afterAutospacing="1" w:line="240" w:lineRule="auto"/>
    </w:pPr>
    <w:rPr>
      <w:rFonts w:ascii="Times" w:eastAsiaTheme="minorEastAsia" w:hAnsi="Times" w:cs="Times New Roman"/>
      <w:sz w:val="20"/>
      <w:szCs w:val="20"/>
    </w:rPr>
  </w:style>
  <w:style w:type="paragraph" w:styleId="EndnoteText">
    <w:name w:val="endnote text"/>
    <w:basedOn w:val="Normal"/>
    <w:link w:val="EndnoteTextChar"/>
    <w:uiPriority w:val="99"/>
    <w:unhideWhenUsed/>
    <w:rsid w:val="002B5C49"/>
    <w:pPr>
      <w:spacing w:after="0" w:line="240" w:lineRule="auto"/>
    </w:pPr>
    <w:rPr>
      <w:sz w:val="24"/>
      <w:szCs w:val="24"/>
    </w:rPr>
  </w:style>
  <w:style w:type="character" w:customStyle="1" w:styleId="EndnoteTextChar">
    <w:name w:val="Endnote Text Char"/>
    <w:basedOn w:val="DefaultParagraphFont"/>
    <w:link w:val="EndnoteText"/>
    <w:uiPriority w:val="99"/>
    <w:rsid w:val="002B5C49"/>
    <w:rPr>
      <w:sz w:val="24"/>
      <w:szCs w:val="24"/>
    </w:rPr>
  </w:style>
  <w:style w:type="character" w:styleId="EndnoteReference">
    <w:name w:val="endnote reference"/>
    <w:basedOn w:val="DefaultParagraphFont"/>
    <w:uiPriority w:val="99"/>
    <w:unhideWhenUsed/>
    <w:rsid w:val="002B5C49"/>
    <w:rPr>
      <w:vertAlign w:val="superscript"/>
    </w:rPr>
  </w:style>
  <w:style w:type="paragraph" w:styleId="FootnoteText">
    <w:name w:val="footnote text"/>
    <w:basedOn w:val="Normal"/>
    <w:link w:val="FootnoteTextChar"/>
    <w:uiPriority w:val="99"/>
    <w:unhideWhenUsed/>
    <w:rsid w:val="00935F28"/>
    <w:pPr>
      <w:spacing w:after="0" w:line="240" w:lineRule="auto"/>
    </w:pPr>
    <w:rPr>
      <w:sz w:val="24"/>
      <w:szCs w:val="24"/>
    </w:rPr>
  </w:style>
  <w:style w:type="character" w:customStyle="1" w:styleId="FootnoteTextChar">
    <w:name w:val="Footnote Text Char"/>
    <w:basedOn w:val="DefaultParagraphFont"/>
    <w:link w:val="FootnoteText"/>
    <w:uiPriority w:val="99"/>
    <w:rsid w:val="00935F28"/>
    <w:rPr>
      <w:sz w:val="24"/>
      <w:szCs w:val="24"/>
    </w:rPr>
  </w:style>
  <w:style w:type="character" w:styleId="FootnoteReference">
    <w:name w:val="footnote reference"/>
    <w:basedOn w:val="DefaultParagraphFont"/>
    <w:uiPriority w:val="99"/>
    <w:unhideWhenUsed/>
    <w:rsid w:val="00935F28"/>
    <w:rPr>
      <w:vertAlign w:val="superscript"/>
    </w:rPr>
  </w:style>
  <w:style w:type="character" w:styleId="PageNumber">
    <w:name w:val="page number"/>
    <w:basedOn w:val="DefaultParagraphFont"/>
    <w:rsid w:val="00C035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29F"/>
    <w:pPr>
      <w:ind w:left="720"/>
      <w:contextualSpacing/>
    </w:pPr>
  </w:style>
  <w:style w:type="paragraph" w:styleId="NormalWeb">
    <w:name w:val="Normal (Web)"/>
    <w:basedOn w:val="Normal"/>
    <w:uiPriority w:val="99"/>
    <w:unhideWhenUsed/>
    <w:rsid w:val="0044468F"/>
    <w:pPr>
      <w:spacing w:before="100" w:beforeAutospacing="1" w:after="100" w:afterAutospacing="1" w:line="240" w:lineRule="auto"/>
    </w:pPr>
    <w:rPr>
      <w:rFonts w:ascii="Times" w:eastAsiaTheme="minorEastAsia" w:hAnsi="Times" w:cs="Times New Roman"/>
      <w:sz w:val="20"/>
      <w:szCs w:val="20"/>
    </w:rPr>
  </w:style>
  <w:style w:type="paragraph" w:styleId="EndnoteText">
    <w:name w:val="endnote text"/>
    <w:basedOn w:val="Normal"/>
    <w:link w:val="EndnoteTextChar"/>
    <w:uiPriority w:val="99"/>
    <w:unhideWhenUsed/>
    <w:rsid w:val="002B5C49"/>
    <w:pPr>
      <w:spacing w:after="0" w:line="240" w:lineRule="auto"/>
    </w:pPr>
    <w:rPr>
      <w:sz w:val="24"/>
      <w:szCs w:val="24"/>
    </w:rPr>
  </w:style>
  <w:style w:type="character" w:customStyle="1" w:styleId="EndnoteTextChar">
    <w:name w:val="Endnote Text Char"/>
    <w:basedOn w:val="DefaultParagraphFont"/>
    <w:link w:val="EndnoteText"/>
    <w:uiPriority w:val="99"/>
    <w:rsid w:val="002B5C49"/>
    <w:rPr>
      <w:sz w:val="24"/>
      <w:szCs w:val="24"/>
    </w:rPr>
  </w:style>
  <w:style w:type="character" w:styleId="EndnoteReference">
    <w:name w:val="endnote reference"/>
    <w:basedOn w:val="DefaultParagraphFont"/>
    <w:uiPriority w:val="99"/>
    <w:unhideWhenUsed/>
    <w:rsid w:val="002B5C49"/>
    <w:rPr>
      <w:vertAlign w:val="superscript"/>
    </w:rPr>
  </w:style>
  <w:style w:type="paragraph" w:styleId="FootnoteText">
    <w:name w:val="footnote text"/>
    <w:basedOn w:val="Normal"/>
    <w:link w:val="FootnoteTextChar"/>
    <w:uiPriority w:val="99"/>
    <w:unhideWhenUsed/>
    <w:rsid w:val="00935F28"/>
    <w:pPr>
      <w:spacing w:after="0" w:line="240" w:lineRule="auto"/>
    </w:pPr>
    <w:rPr>
      <w:sz w:val="24"/>
      <w:szCs w:val="24"/>
    </w:rPr>
  </w:style>
  <w:style w:type="character" w:customStyle="1" w:styleId="FootnoteTextChar">
    <w:name w:val="Footnote Text Char"/>
    <w:basedOn w:val="DefaultParagraphFont"/>
    <w:link w:val="FootnoteText"/>
    <w:uiPriority w:val="99"/>
    <w:rsid w:val="00935F28"/>
    <w:rPr>
      <w:sz w:val="24"/>
      <w:szCs w:val="24"/>
    </w:rPr>
  </w:style>
  <w:style w:type="character" w:styleId="FootnoteReference">
    <w:name w:val="footnote reference"/>
    <w:basedOn w:val="DefaultParagraphFont"/>
    <w:uiPriority w:val="99"/>
    <w:unhideWhenUsed/>
    <w:rsid w:val="00935F28"/>
    <w:rPr>
      <w:vertAlign w:val="superscript"/>
    </w:rPr>
  </w:style>
  <w:style w:type="character" w:styleId="PageNumber">
    <w:name w:val="page number"/>
    <w:basedOn w:val="DefaultParagraphFont"/>
    <w:rsid w:val="00C03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053B7222E25B4EB351C23CCF10AC41" ma:contentTypeVersion="8" ma:contentTypeDescription="Create a new document." ma:contentTypeScope="" ma:versionID="ee1bd0ba219b8089a94027bb0d176ac9">
  <xsd:schema xmlns:xsd="http://www.w3.org/2001/XMLSchema" xmlns:xs="http://www.w3.org/2001/XMLSchema" xmlns:p="http://schemas.microsoft.com/office/2006/metadata/properties" xmlns:ns2="cd8117dd-c9c9-4676-9cc2-cbee34e5f7a0" xmlns:ns3="5050ce75-aed8-457a-af48-2dcb752a2620" targetNamespace="http://schemas.microsoft.com/office/2006/metadata/properties" ma:root="true" ma:fieldsID="2486956eba9fcbb782798130a59bc6cb" ns2:_="" ns3:_="">
    <xsd:import namespace="cd8117dd-c9c9-4676-9cc2-cbee34e5f7a0"/>
    <xsd:import namespace="5050ce75-aed8-457a-af48-2dcb752a2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117dd-c9c9-4676-9cc2-cbee34e5f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0ce75-aed8-457a-af48-2dcb752a26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C89E5-2CAA-45FC-B472-218462115271}"/>
</file>

<file path=customXml/itemProps2.xml><?xml version="1.0" encoding="utf-8"?>
<ds:datastoreItem xmlns:ds="http://schemas.openxmlformats.org/officeDocument/2006/customXml" ds:itemID="{F175AA3B-0261-4246-8CDA-857F5BA08412}"/>
</file>

<file path=customXml/itemProps3.xml><?xml version="1.0" encoding="utf-8"?>
<ds:datastoreItem xmlns:ds="http://schemas.openxmlformats.org/officeDocument/2006/customXml" ds:itemID="{F4CB85FC-D44C-4B12-A4AC-0716C59924B9}"/>
</file>

<file path=docProps/app.xml><?xml version="1.0" encoding="utf-8"?>
<Properties xmlns="http://schemas.openxmlformats.org/officeDocument/2006/extended-properties" xmlns:vt="http://schemas.openxmlformats.org/officeDocument/2006/docPropsVTypes">
  <Template>Normal.dotm</Template>
  <TotalTime>21</TotalTime>
  <Pages>8</Pages>
  <Words>2005</Words>
  <Characters>11434</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Hall</dc:creator>
  <cp:keywords/>
  <dc:description/>
  <cp:lastModifiedBy>Robert Hall</cp:lastModifiedBy>
  <cp:revision>10</cp:revision>
  <cp:lastPrinted>2018-05-07T17:51:00Z</cp:lastPrinted>
  <dcterms:created xsi:type="dcterms:W3CDTF">2018-09-23T19:15:00Z</dcterms:created>
  <dcterms:modified xsi:type="dcterms:W3CDTF">2018-10-02T13:52:00Z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0x010100D1053B7222E25B4EB351C23CCF10AC41</vt:lpwstr>
  </property>
</Properties>
</file>